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710C" w:rsidRPr="0013710C" w:rsidRDefault="0013710C" w:rsidP="0013710C">
      <w:pPr>
        <w:pStyle w:val="Heading1"/>
        <w:rPr>
          <w:rFonts w:ascii="Gill Sans MT" w:hAnsi="Gill Sans MT"/>
          <w:b/>
          <w:bCs/>
          <w:color w:val="000000" w:themeColor="text1"/>
          <w:sz w:val="52"/>
          <w:szCs w:val="52"/>
        </w:rPr>
      </w:pPr>
      <w:r w:rsidRPr="0013710C">
        <w:rPr>
          <w:rFonts w:ascii="Gill Sans MT" w:hAnsi="Gill Sans MT"/>
          <w:b/>
          <w:bCs/>
          <w:color w:val="000000" w:themeColor="text1"/>
          <w:sz w:val="52"/>
          <w:szCs w:val="52"/>
        </w:rPr>
        <w:t>From Fossilized Ritual to Fossilized Power</w:t>
      </w:r>
    </w:p>
    <w:p w:rsidR="0013710C" w:rsidRPr="0013710C" w:rsidRDefault="0013710C" w:rsidP="0013710C">
      <w:pPr>
        <w:pStyle w:val="Heading2"/>
        <w:rPr>
          <w:rFonts w:ascii="Gill Sans MT" w:hAnsi="Gill Sans MT"/>
          <w:b w:val="0"/>
          <w:bCs w:val="0"/>
          <w:i/>
          <w:iCs/>
          <w:color w:val="000000" w:themeColor="text1"/>
          <w:sz w:val="28"/>
          <w:szCs w:val="28"/>
        </w:rPr>
      </w:pPr>
      <w:r w:rsidRPr="0013710C">
        <w:rPr>
          <w:rFonts w:ascii="Gill Sans MT" w:hAnsi="Gill Sans MT"/>
          <w:b w:val="0"/>
          <w:bCs w:val="0"/>
          <w:i/>
          <w:iCs/>
          <w:color w:val="000000" w:themeColor="text1"/>
          <w:sz w:val="28"/>
          <w:szCs w:val="28"/>
        </w:rPr>
        <w:t>Extending the Deep Symbolic Systems Model from Subsistence to Empire</w:t>
      </w:r>
    </w:p>
    <w:p w:rsidR="0013710C" w:rsidRDefault="0013710C"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7821AF" w:rsidRDefault="007821AF" w:rsidP="0013710C">
      <w:pPr>
        <w:pStyle w:val="p2"/>
        <w:rPr>
          <w:rFonts w:ascii="Gill Sans MT" w:hAnsi="Gill Sans MT"/>
          <w:color w:val="000000" w:themeColor="text1"/>
        </w:rPr>
      </w:pPr>
    </w:p>
    <w:p w:rsidR="00243A53" w:rsidRPr="0013710C" w:rsidRDefault="00243A53" w:rsidP="0013710C">
      <w:pPr>
        <w:pStyle w:val="p2"/>
        <w:rPr>
          <w:rFonts w:ascii="Gill Sans MT" w:hAnsi="Gill Sans MT"/>
          <w:color w:val="000000" w:themeColor="text1"/>
        </w:rPr>
      </w:pPr>
    </w:p>
    <w:p w:rsidR="0013710C" w:rsidRDefault="0013710C" w:rsidP="0013710C">
      <w:pPr>
        <w:pStyle w:val="p3"/>
        <w:rPr>
          <w:rFonts w:ascii="Gill Sans MT" w:hAnsi="Gill Sans MT"/>
          <w:b/>
          <w:bCs/>
          <w:color w:val="000000" w:themeColor="text1"/>
        </w:rPr>
      </w:pPr>
      <w:r w:rsidRPr="0013710C">
        <w:rPr>
          <w:rFonts w:ascii="Gill Sans MT" w:hAnsi="Gill Sans MT"/>
          <w:b/>
          <w:bCs/>
          <w:color w:val="000000" w:themeColor="text1"/>
        </w:rPr>
        <w:t>Anthony Vondoom</w:t>
      </w:r>
    </w:p>
    <w:p w:rsidR="00066434" w:rsidRPr="0013710C" w:rsidRDefault="00066434" w:rsidP="0013710C">
      <w:pPr>
        <w:pStyle w:val="p3"/>
        <w:rPr>
          <w:rFonts w:ascii="Gill Sans MT" w:hAnsi="Gill Sans MT"/>
          <w:color w:val="000000" w:themeColor="text1"/>
        </w:rPr>
      </w:pPr>
      <w:hyperlink r:id="rId5" w:history="1">
        <w:r w:rsidRPr="00066434">
          <w:rPr>
            <w:rStyle w:val="Hyperlink"/>
            <w:rFonts w:ascii="Gill Sans MT" w:hAnsi="Gill Sans MT"/>
          </w:rPr>
          <w:t>https://doi.org/10.6084/m9.figshare.31081444</w:t>
        </w:r>
      </w:hyperlink>
    </w:p>
    <w:p w:rsidR="007821AF" w:rsidRDefault="007821AF" w:rsidP="007821AF">
      <w:pPr>
        <w:pStyle w:val="p1"/>
      </w:pPr>
      <w:r>
        <w:t>This paper is conceptually and methodologically related to the foundational work on the Deep Symbolic Systems Model (DSSM) by Vondoom, A.:</w:t>
      </w:r>
    </w:p>
    <w:p w:rsidR="007821AF" w:rsidRDefault="007821AF" w:rsidP="007821AF">
      <w:pPr>
        <w:pStyle w:val="p1"/>
        <w:numPr>
          <w:ilvl w:val="0"/>
          <w:numId w:val="41"/>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r>
        <w:fldChar w:fldCharType="begin"/>
      </w:r>
      <w:r>
        <w:instrText>HYPERLINK "https://doi.org/10.17605/OSF.IO/MRZFU"</w:instrText>
      </w:r>
      <w:r>
        <w:fldChar w:fldCharType="separate"/>
      </w:r>
      <w:r w:rsidRPr="00113FAC">
        <w:rPr>
          <w:rStyle w:val="Hyperlink"/>
        </w:rPr>
        <w:t>https://doi.org/10.17605/OSF.IO/MRZFU</w:t>
      </w:r>
      <w:r>
        <w:rPr>
          <w:rStyle w:val="Hyperlink"/>
        </w:rPr>
        <w:fldChar w:fldCharType="end"/>
      </w:r>
    </w:p>
    <w:p w:rsidR="007821AF" w:rsidRPr="00A15893" w:rsidRDefault="007821AF" w:rsidP="007821AF">
      <w:pPr>
        <w:pStyle w:val="p1"/>
        <w:numPr>
          <w:ilvl w:val="0"/>
          <w:numId w:val="41"/>
        </w:numPr>
        <w:rPr>
          <w:rStyle w:val="Hyperlink"/>
        </w:rPr>
      </w:pPr>
      <w:r>
        <w:rPr>
          <w:rStyle w:val="s1"/>
          <w:b/>
          <w:bCs/>
        </w:rPr>
        <w:t>Vondoom, A. (2026, January 5).</w:t>
      </w:r>
      <w:r>
        <w:t xml:space="preserve"> </w:t>
      </w:r>
      <w:r>
        <w:rPr>
          <w:i/>
          <w:iCs/>
        </w:rPr>
        <w:t>Cognitive Preconditions for the Deep SymbolicSystems Model (DSSM).</w:t>
      </w:r>
      <w:r>
        <w:t xml:space="preserve"> </w:t>
      </w:r>
      <w:r>
        <w:fldChar w:fldCharType="begin"/>
      </w:r>
      <w:r>
        <w:instrText>HYPERLINK "https://doi.org/10.17605/OSF.IO/25AJW"</w:instrText>
      </w:r>
      <w:r>
        <w:fldChar w:fldCharType="separate"/>
      </w:r>
      <w:r w:rsidRPr="00113FAC">
        <w:rPr>
          <w:rStyle w:val="Hyperlink"/>
        </w:rPr>
        <w:t>https://doi.org/10.17605/OSF.IO/25AJW</w:t>
      </w:r>
      <w:r>
        <w:rPr>
          <w:rStyle w:val="Hyperlink"/>
        </w:rPr>
        <w:fldChar w:fldCharType="end"/>
      </w:r>
    </w:p>
    <w:p w:rsidR="007821AF" w:rsidRPr="00066434" w:rsidRDefault="007821AF" w:rsidP="007821AF">
      <w:pPr>
        <w:pStyle w:val="ListParagraph"/>
        <w:numPr>
          <w:ilvl w:val="0"/>
          <w:numId w:val="41"/>
        </w:numPr>
        <w:spacing w:before="100" w:beforeAutospacing="1" w:after="100" w:afterAutospacing="1"/>
        <w:rPr>
          <w:rFonts w:ascii="Times New Roman" w:eastAsia="Times New Roman" w:hAnsi="Times New Roman" w:cs="Times New Roman"/>
          <w:b/>
          <w:bCs/>
          <w:i/>
          <w:iCs/>
          <w:lang w:eastAsia="en-GB"/>
        </w:rPr>
      </w:pPr>
      <w:proofErr w:type="spellStart"/>
      <w:r w:rsidRPr="00A15893">
        <w:rPr>
          <w:rFonts w:ascii="Times New Roman" w:eastAsia="Times New Roman" w:hAnsi="Times New Roman" w:cs="Times New Roman"/>
          <w:b/>
          <w:bCs/>
          <w:lang w:val="en-US" w:eastAsia="en-GB"/>
        </w:rPr>
        <w:t>Vondoom</w:t>
      </w:r>
      <w:proofErr w:type="spellEnd"/>
      <w:r w:rsidRPr="00A15893">
        <w:rPr>
          <w:rFonts w:ascii="Times New Roman" w:eastAsia="Times New Roman" w:hAnsi="Times New Roman" w:cs="Times New Roman"/>
          <w:b/>
          <w:bCs/>
          <w:lang w:val="en-US" w:eastAsia="en-GB"/>
        </w:rPr>
        <w:t>, A. (2026)</w:t>
      </w:r>
      <w:r>
        <w:rPr>
          <w:rFonts w:ascii="Times New Roman" w:eastAsia="Times New Roman" w:hAnsi="Times New Roman" w:cs="Times New Roman"/>
          <w:b/>
          <w:bCs/>
          <w:lang w:val="en-US" w:eastAsia="en-GB"/>
        </w:rPr>
        <w:t xml:space="preserve"> </w:t>
      </w:r>
      <w:r w:rsidRPr="00A15893">
        <w:rPr>
          <w:rFonts w:ascii="Times New Roman" w:eastAsia="Times New Roman" w:hAnsi="Times New Roman" w:cs="Times New Roman"/>
          <w:i/>
          <w:iCs/>
          <w:lang w:eastAsia="en-GB"/>
        </w:rPr>
        <w:t>The Deep Symbolic Systems Model (DSSM</w:t>
      </w:r>
      <w:proofErr w:type="gramStart"/>
      <w:r w:rsidRPr="00A15893">
        <w:rPr>
          <w:rFonts w:ascii="Times New Roman" w:eastAsia="Times New Roman" w:hAnsi="Times New Roman" w:cs="Times New Roman"/>
          <w:i/>
          <w:iCs/>
          <w:lang w:eastAsia="en-GB"/>
        </w:rPr>
        <w:t>):A</w:t>
      </w:r>
      <w:proofErr w:type="gramEnd"/>
      <w:r w:rsidRPr="00A15893">
        <w:rPr>
          <w:rFonts w:ascii="Times New Roman" w:eastAsia="Times New Roman" w:hAnsi="Times New Roman" w:cs="Times New Roman"/>
          <w:i/>
          <w:iCs/>
          <w:lang w:eastAsia="en-GB"/>
        </w:rPr>
        <w:t xml:space="preserve"> Canonical Framework for Early Symbolic Stabilization Across Macro-Regions.</w:t>
      </w:r>
      <w:r w:rsidRPr="00A15893">
        <w:rPr>
          <w:rFonts w:ascii="Times New Roman" w:eastAsia="Times New Roman" w:hAnsi="Times New Roman" w:cs="Times New Roman"/>
          <w:b/>
          <w:bCs/>
          <w:i/>
          <w:iCs/>
          <w:lang w:eastAsia="en-GB"/>
        </w:rPr>
        <w:t xml:space="preserve"> </w:t>
      </w:r>
      <w:hyperlink r:id="rId6" w:history="1">
        <w:r w:rsidRPr="00A15893">
          <w:rPr>
            <w:rStyle w:val="Hyperlink"/>
            <w:rFonts w:ascii="Times New Roman" w:eastAsia="Times New Roman" w:hAnsi="Times New Roman" w:cs="Times New Roman"/>
            <w:lang w:eastAsia="en-GB"/>
          </w:rPr>
          <w:t>https://doi.org/10.6084/m9.figshare.31061698.v3</w:t>
        </w:r>
      </w:hyperlink>
    </w:p>
    <w:p w:rsidR="00066434" w:rsidRDefault="00066434" w:rsidP="00066434">
      <w:pPr>
        <w:spacing w:before="100" w:beforeAutospacing="1" w:after="100" w:afterAutospacing="1"/>
        <w:rPr>
          <w:rFonts w:ascii="Times New Roman" w:eastAsia="Times New Roman" w:hAnsi="Times New Roman" w:cs="Times New Roman"/>
          <w:b/>
          <w:bCs/>
          <w:i/>
          <w:iCs/>
          <w:lang w:eastAsia="en-GB"/>
        </w:rPr>
      </w:pPr>
    </w:p>
    <w:p w:rsidR="00066434" w:rsidRPr="00066434" w:rsidRDefault="00066434" w:rsidP="00066434">
      <w:pPr>
        <w:spacing w:before="100" w:beforeAutospacing="1" w:after="100" w:afterAutospacing="1"/>
        <w:rPr>
          <w:rFonts w:ascii="Times New Roman" w:eastAsia="Times New Roman" w:hAnsi="Times New Roman" w:cs="Times New Roman"/>
          <w:b/>
          <w:bCs/>
          <w:i/>
          <w:iCs/>
          <w:lang w:eastAsia="en-GB"/>
        </w:rPr>
      </w:pP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5"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Abstract</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 xml:space="preserve">This paper serves as a direct sequel to </w:t>
      </w:r>
      <w:r w:rsidRPr="0013710C">
        <w:rPr>
          <w:rFonts w:ascii="Gill Sans MT" w:hAnsi="Gill Sans MT"/>
          <w:i/>
          <w:iCs/>
          <w:color w:val="000000" w:themeColor="text1"/>
        </w:rPr>
        <w:t>Technology as Fossilized Ritual</w:t>
      </w:r>
      <w:r w:rsidRPr="0013710C">
        <w:rPr>
          <w:rFonts w:ascii="Gill Sans MT" w:hAnsi="Gill Sans MT"/>
          <w:color w:val="000000" w:themeColor="text1"/>
        </w:rPr>
        <w:t xml:space="preserve"> (Vondoom, DSSM Preprint), extending the Deep Symbolic Systems Model (DSSM) from technological stabilization into subsistence strategies, exchange systems, warfare, and imperial formation. It argues that the transition from early foraging societies to agriculture, long-distance trade, organized warfare, and empire follows a single cognitive trajectory: repeated survival behaviors become ritualized; rituals are materially stabilized; stabilized practices are externalized into scalable systems of control.</w:t>
      </w:r>
    </w:p>
    <w:p w:rsidR="0013710C" w:rsidRPr="0013710C" w:rsidRDefault="0013710C" w:rsidP="0013710C">
      <w:pPr>
        <w:pStyle w:val="p4"/>
        <w:rPr>
          <w:rFonts w:ascii="Gill Sans MT" w:hAnsi="Gill Sans MT"/>
          <w:color w:val="000000" w:themeColor="text1"/>
        </w:rPr>
      </w:pPr>
      <w:r w:rsidRPr="0013710C">
        <w:rPr>
          <w:rFonts w:ascii="Gill Sans MT" w:hAnsi="Gill Sans MT"/>
          <w:color w:val="000000" w:themeColor="text1"/>
        </w:rPr>
        <w:t>Within this framework, agriculture stabilizes food through enforced waiting, exchange stabilizes value through ritual equivalence, writing stabilizes obligation through impersonal memory, and warfare stabilizes extraction through repeatable violence. Empires do not arise from ambition, ideology, or innovation, but from the fossilization of competitive resource acquisition into administratively enforced ritual (Scott, 2017; Graeber &amp; Wengrow, 2021).</w:t>
      </w:r>
    </w:p>
    <w:p w:rsidR="0013710C" w:rsidRDefault="0013710C" w:rsidP="0013710C">
      <w:pPr>
        <w:pStyle w:val="p4"/>
        <w:rPr>
          <w:rFonts w:ascii="Gill Sans MT" w:hAnsi="Gill Sans MT"/>
          <w:color w:val="000000" w:themeColor="text1"/>
        </w:rPr>
      </w:pPr>
      <w:r w:rsidRPr="0013710C">
        <w:rPr>
          <w:rFonts w:ascii="Gill Sans MT" w:hAnsi="Gill Sans MT"/>
          <w:color w:val="000000" w:themeColor="text1"/>
        </w:rPr>
        <w:t>The paper further argues that modern humanity has crossed a phase boundary in which survival is no longer the dominant selective pressure. Contemporary symbolic systems increasingly optimize coordination, influence, and meaning. Technology no longer fossilizes survival, but power.</w:t>
      </w: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Default="00243A53" w:rsidP="0013710C">
      <w:pPr>
        <w:pStyle w:val="p4"/>
        <w:rPr>
          <w:rFonts w:ascii="Gill Sans MT" w:hAnsi="Gill Sans MT"/>
          <w:color w:val="000000" w:themeColor="text1"/>
        </w:rPr>
      </w:pPr>
    </w:p>
    <w:p w:rsidR="00243A53" w:rsidRPr="0013710C" w:rsidRDefault="00243A53" w:rsidP="0013710C">
      <w:pPr>
        <w:pStyle w:val="p4"/>
        <w:rPr>
          <w:rFonts w:ascii="Gill Sans MT" w:hAnsi="Gill Sans MT"/>
          <w:color w:val="000000" w:themeColor="text1"/>
        </w:rPr>
      </w:pP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4"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I. From Foraging to Directed Predation</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1.1 Early Dietary Regimes and Cognitive Constraints</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Early hominin subsistence was dominated by plant-based foraging supplemented by opportunistic scavenging (Marean, 2015). These practices required limited forward planning, minimal tool standardization, and weak intergenerational compression. Within DSSM, such regimes exhibit low symbolic density: knowledge remains local, ephemeral, and embodied, with little material externalization.</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1.2 Stone Tools and the Ritualization of the Hunt</w:t>
      </w:r>
    </w:p>
    <w:p w:rsid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The transition to systematic hunting marks a decisive symbolic shift. Stone tools do not merely increase lethality; they ritualize predation. Repeated hunting sequences—tracking, ambush, kill, and processing—become embodied scripts stabilized through lithic traditions (Stout, Hecht, &amp; Chaminade, 2018). Projectile technologies further externalize anticipation and timing, embedding foresight into material form.</w:t>
      </w: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Default="00243A53" w:rsidP="00243A53">
      <w:pPr>
        <w:pStyle w:val="p4"/>
        <w:ind w:firstLine="720"/>
        <w:rPr>
          <w:rFonts w:ascii="Gill Sans MT" w:hAnsi="Gill Sans MT"/>
          <w:color w:val="000000" w:themeColor="text1"/>
        </w:rPr>
      </w:pPr>
    </w:p>
    <w:p w:rsidR="00243A53" w:rsidRPr="0013710C" w:rsidRDefault="00243A53" w:rsidP="00243A53">
      <w:pPr>
        <w:pStyle w:val="p4"/>
        <w:ind w:firstLine="720"/>
        <w:rPr>
          <w:rFonts w:ascii="Gill Sans MT" w:hAnsi="Gill Sans MT"/>
          <w:color w:val="000000" w:themeColor="text1"/>
        </w:rPr>
      </w:pPr>
    </w:p>
    <w:p w:rsidR="0013710C" w:rsidRPr="0013710C" w:rsidRDefault="0013710C" w:rsidP="0013710C">
      <w:pPr>
        <w:pStyle w:val="p2"/>
        <w:rPr>
          <w:rFonts w:ascii="Gill Sans MT" w:hAnsi="Gill Sans MT"/>
          <w:color w:val="000000" w:themeColor="text1"/>
        </w:rPr>
      </w:pPr>
    </w:p>
    <w:p w:rsidR="00243A53" w:rsidRDefault="0013710C" w:rsidP="00243A53">
      <w:pPr>
        <w:pStyle w:val="p4"/>
        <w:rPr>
          <w:rFonts w:ascii="Gill Sans MT" w:hAnsi="Gill Sans MT"/>
          <w:color w:val="000000" w:themeColor="text1"/>
        </w:rPr>
      </w:pPr>
      <w:r w:rsidRPr="0013710C">
        <w:rPr>
          <w:rStyle w:val="s2"/>
          <w:rFonts w:ascii="Gill Sans MT" w:hAnsi="Gill Sans MT"/>
          <w:b/>
          <w:bCs/>
          <w:color w:val="000000" w:themeColor="text1"/>
        </w:rPr>
        <w:t>DSSM Insight:</w:t>
      </w:r>
      <w:r w:rsidRPr="0013710C">
        <w:rPr>
          <w:rFonts w:ascii="Gill Sans MT" w:hAnsi="Gill Sans MT"/>
          <w:color w:val="000000" w:themeColor="text1"/>
        </w:rPr>
        <w:t xml:space="preserve"> Hunting is not a dietary change but a symbolic one. It stabilizes directed force against nature long before that force is redirected toward humans.</w:t>
      </w:r>
    </w:p>
    <w:p w:rsidR="00243A53" w:rsidRDefault="00243A53" w:rsidP="00243A53">
      <w:pPr>
        <w:pStyle w:val="p4"/>
        <w:rPr>
          <w:rFonts w:ascii="Gill Sans MT" w:hAnsi="Gill Sans MT"/>
          <w:color w:val="000000" w:themeColor="text1"/>
        </w:rPr>
      </w:pPr>
    </w:p>
    <w:p w:rsidR="0013710C" w:rsidRPr="0013710C" w:rsidRDefault="00DB30C4" w:rsidP="00243A53">
      <w:pPr>
        <w:pStyle w:val="p4"/>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3"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II. Agriculture as Fossilized Patience</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2.1 Climate Stability, Population Pressure, and Waiting</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The emergence of agriculture correlates with ecological stability and population density rather than technological ingenuity (Bar-Yosef &amp; Belfer-Cohen, 2020). Farming does not invent food production; it ritualizes delayed gratification. The cognitive novelty lies in enforcing waiting across seasons and generations.</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2.2 Fields as External Memory Systems</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Fields, tools, and seasonal cycles compress temporal knowledge into landscapes, transforming land into an external memory device. Calendrical rituals and agricultural scheduling encode time discipline into space (Zhang, 2017).</w:t>
      </w:r>
    </w:p>
    <w:p w:rsidR="0013710C" w:rsidRPr="0013710C" w:rsidRDefault="0013710C" w:rsidP="0013710C">
      <w:pPr>
        <w:pStyle w:val="p3"/>
        <w:rPr>
          <w:rFonts w:ascii="Gill Sans MT" w:hAnsi="Gill Sans MT"/>
          <w:color w:val="000000" w:themeColor="text1"/>
        </w:rPr>
      </w:pPr>
      <w:r w:rsidRPr="0013710C">
        <w:rPr>
          <w:rFonts w:ascii="Gill Sans MT" w:hAnsi="Gill Sans MT"/>
          <w:b/>
          <w:bCs/>
          <w:color w:val="000000" w:themeColor="text1"/>
        </w:rPr>
        <w:t>Empirical Anchors:</w:t>
      </w:r>
    </w:p>
    <w:p w:rsidR="0013710C" w:rsidRPr="0013710C" w:rsidRDefault="0013710C" w:rsidP="0013710C">
      <w:pPr>
        <w:pStyle w:val="p1"/>
        <w:numPr>
          <w:ilvl w:val="0"/>
          <w:numId w:val="33"/>
        </w:numPr>
        <w:rPr>
          <w:rFonts w:ascii="Gill Sans MT" w:hAnsi="Gill Sans MT"/>
          <w:color w:val="000000" w:themeColor="text1"/>
        </w:rPr>
      </w:pPr>
      <w:r w:rsidRPr="0013710C">
        <w:rPr>
          <w:rStyle w:val="s1"/>
          <w:rFonts w:ascii="Gill Sans MT" w:hAnsi="Gill Sans MT"/>
          <w:b/>
          <w:bCs/>
          <w:color w:val="000000" w:themeColor="text1"/>
        </w:rPr>
        <w:t>Göbekli Tepe (9600–8200 BCE):</w:t>
      </w:r>
      <w:r w:rsidRPr="0013710C">
        <w:rPr>
          <w:rFonts w:ascii="Gill Sans MT" w:hAnsi="Gill Sans MT"/>
          <w:color w:val="000000" w:themeColor="text1"/>
        </w:rPr>
        <w:t xml:space="preserve"> Monumental ritual architecture predates full agriculture, indicating symbolic stabilization before subsistence reorganization (Hodder, 2006).</w:t>
      </w:r>
    </w:p>
    <w:p w:rsidR="0013710C" w:rsidRPr="0013710C" w:rsidRDefault="0013710C" w:rsidP="0013710C">
      <w:pPr>
        <w:pStyle w:val="p1"/>
        <w:numPr>
          <w:ilvl w:val="0"/>
          <w:numId w:val="33"/>
        </w:numPr>
        <w:rPr>
          <w:rFonts w:ascii="Gill Sans MT" w:hAnsi="Gill Sans MT"/>
          <w:color w:val="000000" w:themeColor="text1"/>
        </w:rPr>
      </w:pPr>
      <w:r w:rsidRPr="0013710C">
        <w:rPr>
          <w:rStyle w:val="s1"/>
          <w:rFonts w:ascii="Gill Sans MT" w:hAnsi="Gill Sans MT"/>
          <w:b/>
          <w:bCs/>
          <w:color w:val="000000" w:themeColor="text1"/>
        </w:rPr>
        <w:t>Çatalhöyük (7400–6000 BCE):</w:t>
      </w:r>
      <w:r w:rsidRPr="0013710C">
        <w:rPr>
          <w:rFonts w:ascii="Gill Sans MT" w:hAnsi="Gill Sans MT"/>
          <w:color w:val="000000" w:themeColor="text1"/>
        </w:rPr>
        <w:t xml:space="preserve"> Fixed fields, integrated storage, and spatial encoding of seasonal repetition (Hodder, 2006).</w:t>
      </w:r>
    </w:p>
    <w:p w:rsidR="0013710C" w:rsidRPr="0013710C" w:rsidRDefault="0013710C" w:rsidP="0013710C">
      <w:pPr>
        <w:pStyle w:val="p1"/>
        <w:numPr>
          <w:ilvl w:val="0"/>
          <w:numId w:val="33"/>
        </w:numPr>
        <w:rPr>
          <w:rFonts w:ascii="Gill Sans MT" w:hAnsi="Gill Sans MT"/>
          <w:color w:val="000000" w:themeColor="text1"/>
        </w:rPr>
      </w:pPr>
      <w:r w:rsidRPr="0013710C">
        <w:rPr>
          <w:rStyle w:val="s1"/>
          <w:rFonts w:ascii="Gill Sans MT" w:hAnsi="Gill Sans MT"/>
          <w:b/>
          <w:bCs/>
          <w:color w:val="000000" w:themeColor="text1"/>
        </w:rPr>
        <w:t>Tel Tsaf (5200–4700 BCE):</w:t>
      </w:r>
      <w:r w:rsidRPr="0013710C">
        <w:rPr>
          <w:rFonts w:ascii="Gill Sans MT" w:hAnsi="Gill Sans MT"/>
          <w:color w:val="000000" w:themeColor="text1"/>
        </w:rPr>
        <w:t xml:space="preserve"> Large standardized granaries and long-distance trade items signal enforceable waiting under surplus pressure (Bar-Yosef &amp; Belfer-Cohen, 2020).</w:t>
      </w:r>
    </w:p>
    <w:p w:rsidR="0013710C" w:rsidRDefault="0013710C"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Pr="0013710C" w:rsidRDefault="00243A53" w:rsidP="0013710C">
      <w:pPr>
        <w:pStyle w:val="p2"/>
        <w:rPr>
          <w:rFonts w:ascii="Gill Sans MT" w:hAnsi="Gill Sans MT"/>
          <w:color w:val="000000" w:themeColor="text1"/>
        </w:rPr>
      </w:pPr>
    </w:p>
    <w:p w:rsidR="00243A53" w:rsidRDefault="0013710C" w:rsidP="00243A53">
      <w:pPr>
        <w:pStyle w:val="p4"/>
        <w:rPr>
          <w:rFonts w:ascii="Gill Sans MT" w:hAnsi="Gill Sans MT"/>
          <w:color w:val="000000" w:themeColor="text1"/>
        </w:rPr>
      </w:pPr>
      <w:r w:rsidRPr="0013710C">
        <w:rPr>
          <w:rStyle w:val="s2"/>
          <w:rFonts w:ascii="Gill Sans MT" w:hAnsi="Gill Sans MT"/>
          <w:b/>
          <w:bCs/>
          <w:color w:val="000000" w:themeColor="text1"/>
        </w:rPr>
        <w:t>DSSM Interpretation:</w:t>
      </w:r>
      <w:r w:rsidRPr="0013710C">
        <w:rPr>
          <w:rFonts w:ascii="Gill Sans MT" w:hAnsi="Gill Sans MT"/>
          <w:color w:val="000000" w:themeColor="text1"/>
        </w:rPr>
        <w:t xml:space="preserve"> Agriculture emerges when patience becomes enforceable, not when food is invented.</w:t>
      </w:r>
    </w:p>
    <w:p w:rsidR="0013710C" w:rsidRPr="0013710C" w:rsidRDefault="00DB30C4" w:rsidP="00243A53">
      <w:pPr>
        <w:pStyle w:val="p4"/>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2"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III. Exchange Before Money: Stabilizing Value</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3.1 Ritual Equivalence in Early Exchange</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Prior to currency, exchange depended on shared ritual expectations rather than abstract pricing mechanisms. Goods circulated through stabilized equivalence ratios enforced by repetition and social memory (Graeber &amp; Wengrow, 2021).</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3.2 Surplus, Debt, and the Memory Bottleneck</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As agricultural surplus displaced consumption across time, obligation exceeded biological memory. DSSM predicts the emergence of external accounting systems when memory becomes a coordination bottleneck.</w:t>
      </w:r>
    </w:p>
    <w:p w:rsidR="0013710C" w:rsidRPr="0013710C" w:rsidRDefault="0013710C" w:rsidP="0013710C">
      <w:pPr>
        <w:pStyle w:val="p3"/>
        <w:rPr>
          <w:rFonts w:ascii="Gill Sans MT" w:hAnsi="Gill Sans MT"/>
          <w:color w:val="000000" w:themeColor="text1"/>
        </w:rPr>
      </w:pPr>
      <w:r w:rsidRPr="0013710C">
        <w:rPr>
          <w:rFonts w:ascii="Gill Sans MT" w:hAnsi="Gill Sans MT"/>
          <w:b/>
          <w:bCs/>
          <w:color w:val="000000" w:themeColor="text1"/>
        </w:rPr>
        <w:t>Empirical Anchors:</w:t>
      </w:r>
    </w:p>
    <w:p w:rsidR="0013710C" w:rsidRPr="0013710C" w:rsidRDefault="0013710C" w:rsidP="0013710C">
      <w:pPr>
        <w:pStyle w:val="p1"/>
        <w:numPr>
          <w:ilvl w:val="0"/>
          <w:numId w:val="34"/>
        </w:numPr>
        <w:rPr>
          <w:rFonts w:ascii="Gill Sans MT" w:hAnsi="Gill Sans MT"/>
          <w:color w:val="000000" w:themeColor="text1"/>
        </w:rPr>
      </w:pPr>
      <w:r w:rsidRPr="0013710C">
        <w:rPr>
          <w:rStyle w:val="s1"/>
          <w:rFonts w:ascii="Gill Sans MT" w:hAnsi="Gill Sans MT"/>
          <w:b/>
          <w:bCs/>
          <w:color w:val="000000" w:themeColor="text1"/>
        </w:rPr>
        <w:t>Obsidian Networks (9000–6000 BCE):</w:t>
      </w:r>
      <w:r w:rsidRPr="0013710C">
        <w:rPr>
          <w:rFonts w:ascii="Gill Sans MT" w:hAnsi="Gill Sans MT"/>
          <w:color w:val="000000" w:themeColor="text1"/>
        </w:rPr>
        <w:t xml:space="preserve"> Stable long-distance exchange routes without currency (Joyce, 2020).</w:t>
      </w:r>
    </w:p>
    <w:p w:rsidR="0013710C" w:rsidRPr="0013710C" w:rsidRDefault="0013710C" w:rsidP="0013710C">
      <w:pPr>
        <w:pStyle w:val="p1"/>
        <w:numPr>
          <w:ilvl w:val="0"/>
          <w:numId w:val="34"/>
        </w:numPr>
        <w:rPr>
          <w:rFonts w:ascii="Gill Sans MT" w:hAnsi="Gill Sans MT"/>
          <w:color w:val="000000" w:themeColor="text1"/>
        </w:rPr>
      </w:pPr>
      <w:r w:rsidRPr="0013710C">
        <w:rPr>
          <w:rStyle w:val="s1"/>
          <w:rFonts w:ascii="Gill Sans MT" w:hAnsi="Gill Sans MT"/>
          <w:b/>
          <w:bCs/>
          <w:color w:val="000000" w:themeColor="text1"/>
        </w:rPr>
        <w:t>Indus Valley Civilization (2600–1900 BCE):</w:t>
      </w:r>
      <w:r w:rsidRPr="0013710C">
        <w:rPr>
          <w:rFonts w:ascii="Gill Sans MT" w:hAnsi="Gill Sans MT"/>
          <w:color w:val="000000" w:themeColor="text1"/>
        </w:rPr>
        <w:t xml:space="preserve"> Standardized weights and seals stabilizing trust without coinage or kingship (Bauer, 2018).</w:t>
      </w:r>
    </w:p>
    <w:p w:rsidR="0013710C" w:rsidRPr="0013710C" w:rsidRDefault="0013710C" w:rsidP="0013710C">
      <w:pPr>
        <w:pStyle w:val="p1"/>
        <w:numPr>
          <w:ilvl w:val="0"/>
          <w:numId w:val="34"/>
        </w:numPr>
        <w:rPr>
          <w:rFonts w:ascii="Gill Sans MT" w:hAnsi="Gill Sans MT"/>
          <w:color w:val="000000" w:themeColor="text1"/>
        </w:rPr>
      </w:pPr>
      <w:r w:rsidRPr="0013710C">
        <w:rPr>
          <w:rStyle w:val="s1"/>
          <w:rFonts w:ascii="Gill Sans MT" w:hAnsi="Gill Sans MT"/>
          <w:b/>
          <w:bCs/>
          <w:color w:val="000000" w:themeColor="text1"/>
        </w:rPr>
        <w:t>Uluburun Shipwreck (1600–1200 BCE):</w:t>
      </w:r>
      <w:r w:rsidRPr="0013710C">
        <w:rPr>
          <w:rFonts w:ascii="Gill Sans MT" w:hAnsi="Gill Sans MT"/>
          <w:color w:val="000000" w:themeColor="text1"/>
        </w:rPr>
        <w:t xml:space="preserve"> Standardized cargo ratios demonstrating ritualized value equivalence (Graham &amp; McIntosh, 2019).</w:t>
      </w:r>
    </w:p>
    <w:p w:rsidR="0013710C" w:rsidRDefault="0013710C"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Pr="0013710C" w:rsidRDefault="00243A53" w:rsidP="0013710C">
      <w:pPr>
        <w:pStyle w:val="p2"/>
        <w:rPr>
          <w:rFonts w:ascii="Gill Sans MT" w:hAnsi="Gill Sans MT"/>
          <w:color w:val="000000" w:themeColor="text1"/>
        </w:rPr>
      </w:pPr>
    </w:p>
    <w:p w:rsidR="0013710C" w:rsidRPr="0013710C" w:rsidRDefault="0013710C" w:rsidP="0013710C">
      <w:pPr>
        <w:pStyle w:val="p4"/>
        <w:rPr>
          <w:rFonts w:ascii="Gill Sans MT" w:hAnsi="Gill Sans MT"/>
          <w:color w:val="000000" w:themeColor="text1"/>
        </w:rPr>
      </w:pPr>
      <w:r w:rsidRPr="0013710C">
        <w:rPr>
          <w:rStyle w:val="s2"/>
          <w:rFonts w:ascii="Gill Sans MT" w:hAnsi="Gill Sans MT"/>
          <w:b/>
          <w:bCs/>
          <w:color w:val="000000" w:themeColor="text1"/>
        </w:rPr>
        <w:t>DSSM Interpretation:</w:t>
      </w:r>
      <w:r w:rsidRPr="0013710C">
        <w:rPr>
          <w:rFonts w:ascii="Gill Sans MT" w:hAnsi="Gill Sans MT"/>
          <w:color w:val="000000" w:themeColor="text1"/>
        </w:rPr>
        <w:t xml:space="preserve"> Trade stabilizes value through repetition long before money appears.</w:t>
      </w: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1"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IV. Writing as Enforced Memory</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4.1 Accounting Before Expression</w:t>
      </w:r>
    </w:p>
    <w:p w:rsidR="0013710C" w:rsidRPr="0013710C" w:rsidRDefault="0013710C" w:rsidP="0013710C">
      <w:pPr>
        <w:pStyle w:val="p4"/>
        <w:rPr>
          <w:rFonts w:ascii="Gill Sans MT" w:hAnsi="Gill Sans MT"/>
          <w:color w:val="000000" w:themeColor="text1"/>
        </w:rPr>
      </w:pPr>
      <w:r w:rsidRPr="0013710C">
        <w:rPr>
          <w:rFonts w:ascii="Gill Sans MT" w:hAnsi="Gill Sans MT"/>
          <w:color w:val="000000" w:themeColor="text1"/>
        </w:rPr>
        <w:t>Archaeological evidence consistently shows that writing originates as an accounting technology. Tokens, bullae, and numerical tablets compress exchange rituals into portable authority (Henshilwood et al., 2018).</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4.2 Obligation Without Presence</w:t>
      </w:r>
    </w:p>
    <w:p w:rsidR="0013710C" w:rsidRPr="0013710C" w:rsidRDefault="0013710C" w:rsidP="0013710C">
      <w:pPr>
        <w:pStyle w:val="p4"/>
        <w:rPr>
          <w:rFonts w:ascii="Gill Sans MT" w:hAnsi="Gill Sans MT"/>
          <w:color w:val="000000" w:themeColor="text1"/>
        </w:rPr>
      </w:pPr>
      <w:r w:rsidRPr="0013710C">
        <w:rPr>
          <w:rFonts w:ascii="Gill Sans MT" w:hAnsi="Gill Sans MT"/>
          <w:color w:val="000000" w:themeColor="text1"/>
        </w:rPr>
        <w:t>Once marks become enforceable, obligation becomes impersonal. The written sign outlives the speaker, stabilizing authority independent of memory or reputation.</w:t>
      </w:r>
    </w:p>
    <w:p w:rsidR="0013710C" w:rsidRPr="0013710C" w:rsidRDefault="0013710C" w:rsidP="0013710C">
      <w:pPr>
        <w:pStyle w:val="p3"/>
        <w:rPr>
          <w:rFonts w:ascii="Gill Sans MT" w:hAnsi="Gill Sans MT"/>
          <w:color w:val="000000" w:themeColor="text1"/>
        </w:rPr>
      </w:pPr>
      <w:r w:rsidRPr="0013710C">
        <w:rPr>
          <w:rFonts w:ascii="Gill Sans MT" w:hAnsi="Gill Sans MT"/>
          <w:b/>
          <w:bCs/>
          <w:color w:val="000000" w:themeColor="text1"/>
        </w:rPr>
        <w:t>Empirical Anchors:</w:t>
      </w:r>
    </w:p>
    <w:p w:rsidR="0013710C" w:rsidRPr="0013710C" w:rsidRDefault="0013710C" w:rsidP="0013710C">
      <w:pPr>
        <w:pStyle w:val="p1"/>
        <w:numPr>
          <w:ilvl w:val="0"/>
          <w:numId w:val="35"/>
        </w:numPr>
        <w:rPr>
          <w:rFonts w:ascii="Gill Sans MT" w:hAnsi="Gill Sans MT"/>
          <w:color w:val="000000" w:themeColor="text1"/>
        </w:rPr>
      </w:pPr>
      <w:r w:rsidRPr="0013710C">
        <w:rPr>
          <w:rStyle w:val="s1"/>
          <w:rFonts w:ascii="Gill Sans MT" w:hAnsi="Gill Sans MT"/>
          <w:b/>
          <w:bCs/>
          <w:color w:val="000000" w:themeColor="text1"/>
        </w:rPr>
        <w:t>Uruk Expansion (3500–3000 BCE):</w:t>
      </w:r>
      <w:r w:rsidRPr="0013710C">
        <w:rPr>
          <w:rFonts w:ascii="Gill Sans MT" w:hAnsi="Gill Sans MT"/>
          <w:color w:val="000000" w:themeColor="text1"/>
        </w:rPr>
        <w:t xml:space="preserve"> Numerical tablets precede narrative texts; writing density correlates with storage and labor control (Bar-Yosef &amp; Belfer-Cohen, 2020).</w:t>
      </w:r>
    </w:p>
    <w:p w:rsidR="0013710C" w:rsidRPr="0013710C" w:rsidRDefault="0013710C" w:rsidP="0013710C">
      <w:pPr>
        <w:pStyle w:val="p1"/>
        <w:numPr>
          <w:ilvl w:val="0"/>
          <w:numId w:val="35"/>
        </w:numPr>
        <w:rPr>
          <w:rFonts w:ascii="Gill Sans MT" w:hAnsi="Gill Sans MT"/>
          <w:color w:val="000000" w:themeColor="text1"/>
        </w:rPr>
      </w:pPr>
      <w:r w:rsidRPr="0013710C">
        <w:rPr>
          <w:rStyle w:val="s1"/>
          <w:rFonts w:ascii="Gill Sans MT" w:hAnsi="Gill Sans MT"/>
          <w:b/>
          <w:bCs/>
          <w:color w:val="000000" w:themeColor="text1"/>
        </w:rPr>
        <w:t>Early Dynastic Egypt (c. 3000 BCE):</w:t>
      </w:r>
      <w:r w:rsidRPr="0013710C">
        <w:rPr>
          <w:rFonts w:ascii="Gill Sans MT" w:hAnsi="Gill Sans MT"/>
          <w:color w:val="000000" w:themeColor="text1"/>
        </w:rPr>
        <w:t xml:space="preserve"> Writing used primarily for taxation, labor organization, and funerary administration.</w:t>
      </w:r>
    </w:p>
    <w:p w:rsidR="0013710C" w:rsidRPr="0013710C" w:rsidRDefault="0013710C" w:rsidP="0013710C">
      <w:pPr>
        <w:pStyle w:val="p1"/>
        <w:numPr>
          <w:ilvl w:val="0"/>
          <w:numId w:val="35"/>
        </w:numPr>
        <w:rPr>
          <w:rFonts w:ascii="Gill Sans MT" w:hAnsi="Gill Sans MT"/>
          <w:color w:val="000000" w:themeColor="text1"/>
        </w:rPr>
      </w:pPr>
      <w:r w:rsidRPr="0013710C">
        <w:rPr>
          <w:rStyle w:val="s1"/>
          <w:rFonts w:ascii="Gill Sans MT" w:hAnsi="Gill Sans MT"/>
          <w:b/>
          <w:bCs/>
          <w:color w:val="000000" w:themeColor="text1"/>
        </w:rPr>
        <w:t>Shang Dynasty Oracle Bones (c. 1250 BCE):</w:t>
      </w:r>
      <w:r w:rsidRPr="0013710C">
        <w:rPr>
          <w:rFonts w:ascii="Gill Sans MT" w:hAnsi="Gill Sans MT"/>
          <w:color w:val="000000" w:themeColor="text1"/>
        </w:rPr>
        <w:t xml:space="preserve"> Writing embedded in ritual divination as predictive control rather than storytelling.</w:t>
      </w:r>
    </w:p>
    <w:p w:rsidR="0013710C" w:rsidRDefault="0013710C"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Default="00243A53" w:rsidP="0013710C">
      <w:pPr>
        <w:pStyle w:val="p2"/>
        <w:rPr>
          <w:rFonts w:ascii="Gill Sans MT" w:hAnsi="Gill Sans MT"/>
          <w:color w:val="000000" w:themeColor="text1"/>
        </w:rPr>
      </w:pPr>
    </w:p>
    <w:p w:rsidR="00243A53" w:rsidRPr="0013710C" w:rsidRDefault="00243A53" w:rsidP="0013710C">
      <w:pPr>
        <w:pStyle w:val="p2"/>
        <w:rPr>
          <w:rFonts w:ascii="Gill Sans MT" w:hAnsi="Gill Sans MT"/>
          <w:color w:val="000000" w:themeColor="text1"/>
        </w:rPr>
      </w:pPr>
    </w:p>
    <w:p w:rsidR="00243A53" w:rsidRDefault="0013710C" w:rsidP="00243A53">
      <w:pPr>
        <w:pStyle w:val="p4"/>
        <w:rPr>
          <w:rFonts w:ascii="Gill Sans MT" w:hAnsi="Gill Sans MT"/>
          <w:color w:val="000000" w:themeColor="text1"/>
        </w:rPr>
      </w:pPr>
      <w:r w:rsidRPr="0013710C">
        <w:rPr>
          <w:rStyle w:val="s2"/>
          <w:rFonts w:ascii="Gill Sans MT" w:hAnsi="Gill Sans MT"/>
          <w:b/>
          <w:bCs/>
          <w:color w:val="000000" w:themeColor="text1"/>
        </w:rPr>
        <w:t>DSSM Insight:</w:t>
      </w:r>
      <w:r w:rsidRPr="0013710C">
        <w:rPr>
          <w:rFonts w:ascii="Gill Sans MT" w:hAnsi="Gill Sans MT"/>
          <w:color w:val="000000" w:themeColor="text1"/>
        </w:rPr>
        <w:t xml:space="preserve"> Writing stabilizes obligation and authority before it stabilizes meaning.</w:t>
      </w:r>
    </w:p>
    <w:p w:rsidR="0013710C" w:rsidRPr="0013710C" w:rsidRDefault="00DB30C4" w:rsidP="00243A53">
      <w:pPr>
        <w:pStyle w:val="p4"/>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30"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V. Warfare as Fossilized Directed Force</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5.1 From Predation to Extraction</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The same controlled force once applied to prey is redirected toward humans. Warfare becomes dominant when violence is repeatable, predictable, and administratively supported.</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5.2 Bronze Age Stabilization of Violence</w:t>
      </w:r>
    </w:p>
    <w:p w:rsidR="0013710C" w:rsidRPr="0013710C" w:rsidRDefault="0013710C" w:rsidP="0013710C">
      <w:pPr>
        <w:pStyle w:val="p1"/>
        <w:numPr>
          <w:ilvl w:val="0"/>
          <w:numId w:val="36"/>
        </w:numPr>
        <w:rPr>
          <w:rFonts w:ascii="Gill Sans MT" w:hAnsi="Gill Sans MT"/>
          <w:color w:val="000000" w:themeColor="text1"/>
        </w:rPr>
      </w:pPr>
      <w:r w:rsidRPr="0013710C">
        <w:rPr>
          <w:rStyle w:val="s1"/>
          <w:rFonts w:ascii="Gill Sans MT" w:hAnsi="Gill Sans MT"/>
          <w:b/>
          <w:bCs/>
          <w:color w:val="000000" w:themeColor="text1"/>
        </w:rPr>
        <w:t>Akkadian Empire (2334–2154 BCE):</w:t>
      </w:r>
      <w:r w:rsidRPr="0013710C">
        <w:rPr>
          <w:rFonts w:ascii="Gill Sans MT" w:hAnsi="Gill Sans MT"/>
          <w:color w:val="000000" w:themeColor="text1"/>
        </w:rPr>
        <w:t xml:space="preserve"> Standardized bronze weapons, road networks, ration systems, and expanding cuneiform administration demonstrate violence as a repeatable, logistical process.</w:t>
      </w:r>
    </w:p>
    <w:p w:rsidR="0013710C" w:rsidRPr="0013710C" w:rsidRDefault="0013710C" w:rsidP="0013710C">
      <w:pPr>
        <w:pStyle w:val="p1"/>
        <w:numPr>
          <w:ilvl w:val="0"/>
          <w:numId w:val="36"/>
        </w:numPr>
        <w:rPr>
          <w:rFonts w:ascii="Gill Sans MT" w:hAnsi="Gill Sans MT"/>
          <w:color w:val="000000" w:themeColor="text1"/>
        </w:rPr>
      </w:pPr>
      <w:r w:rsidRPr="0013710C">
        <w:rPr>
          <w:rStyle w:val="s1"/>
          <w:rFonts w:ascii="Gill Sans MT" w:hAnsi="Gill Sans MT"/>
          <w:b/>
          <w:bCs/>
          <w:color w:val="000000" w:themeColor="text1"/>
        </w:rPr>
        <w:t>Sintashta–Petrovka Culture (2100–1800 BCE):</w:t>
      </w:r>
      <w:r w:rsidRPr="0013710C">
        <w:rPr>
          <w:rFonts w:ascii="Gill Sans MT" w:hAnsi="Gill Sans MT"/>
          <w:color w:val="000000" w:themeColor="text1"/>
        </w:rPr>
        <w:t xml:space="preserve"> Earliest chariots, horse sacrifice rituals, and fortified settlements with repetitive layouts externalize coordination into material form.</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5.3 Iron Age Institutionalization</w:t>
      </w:r>
    </w:p>
    <w:p w:rsidR="0013710C" w:rsidRPr="0013710C" w:rsidRDefault="0013710C" w:rsidP="0013710C">
      <w:pPr>
        <w:pStyle w:val="p1"/>
        <w:numPr>
          <w:ilvl w:val="0"/>
          <w:numId w:val="37"/>
        </w:numPr>
        <w:rPr>
          <w:rFonts w:ascii="Gill Sans MT" w:hAnsi="Gill Sans MT"/>
          <w:color w:val="000000" w:themeColor="text1"/>
        </w:rPr>
      </w:pPr>
      <w:r w:rsidRPr="0013710C">
        <w:rPr>
          <w:rStyle w:val="s1"/>
          <w:rFonts w:ascii="Gill Sans MT" w:hAnsi="Gill Sans MT"/>
          <w:b/>
          <w:bCs/>
          <w:color w:val="000000" w:themeColor="text1"/>
        </w:rPr>
        <w:t>Neo-Assyrian Empire (900–612 BCE):</w:t>
      </w:r>
      <w:r w:rsidRPr="0013710C">
        <w:rPr>
          <w:rFonts w:ascii="Gill Sans MT" w:hAnsi="Gill Sans MT"/>
          <w:color w:val="000000" w:themeColor="text1"/>
        </w:rPr>
        <w:t xml:space="preserve"> Standing armies, mass-produced iron weapons, deportation records, and visual propaganda transform violence into bureaucratic routine.</w:t>
      </w:r>
    </w:p>
    <w:p w:rsidR="0013710C" w:rsidRPr="0013710C" w:rsidRDefault="0013710C" w:rsidP="0013710C">
      <w:pPr>
        <w:pStyle w:val="p1"/>
        <w:numPr>
          <w:ilvl w:val="0"/>
          <w:numId w:val="37"/>
        </w:numPr>
        <w:rPr>
          <w:rFonts w:ascii="Gill Sans MT" w:hAnsi="Gill Sans MT"/>
          <w:color w:val="000000" w:themeColor="text1"/>
        </w:rPr>
      </w:pPr>
      <w:r w:rsidRPr="0013710C">
        <w:rPr>
          <w:rStyle w:val="s1"/>
          <w:rFonts w:ascii="Gill Sans MT" w:hAnsi="Gill Sans MT"/>
          <w:b/>
          <w:bCs/>
          <w:color w:val="000000" w:themeColor="text1"/>
        </w:rPr>
        <w:t>Roman Expansion (300 BCE–200 CE):</w:t>
      </w:r>
      <w:r w:rsidRPr="0013710C">
        <w:rPr>
          <w:rFonts w:ascii="Gill Sans MT" w:hAnsi="Gill Sans MT"/>
          <w:color w:val="000000" w:themeColor="text1"/>
        </w:rPr>
        <w:t xml:space="preserve"> Roads, forts, standardized armor, legal codification, and grain logistics routinize conquest (Graham &amp; McIntosh, 2019).</w:t>
      </w: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13710C" w:rsidRPr="0013710C" w:rsidRDefault="0013710C" w:rsidP="00243A53">
      <w:pPr>
        <w:pStyle w:val="p4"/>
        <w:rPr>
          <w:rStyle w:val="s1"/>
          <w:rFonts w:ascii="Gill Sans MT" w:hAnsi="Gill Sans MT"/>
          <w:color w:val="000000" w:themeColor="text1"/>
        </w:rPr>
      </w:pPr>
      <w:r w:rsidRPr="0013710C">
        <w:rPr>
          <w:rStyle w:val="s2"/>
          <w:rFonts w:ascii="Gill Sans MT" w:hAnsi="Gill Sans MT"/>
          <w:b/>
          <w:bCs/>
          <w:color w:val="000000" w:themeColor="text1"/>
        </w:rPr>
        <w:t>DSSM Interpretation:</w:t>
      </w:r>
      <w:r w:rsidRPr="0013710C">
        <w:rPr>
          <w:rFonts w:ascii="Gill Sans MT" w:hAnsi="Gill Sans MT"/>
          <w:color w:val="000000" w:themeColor="text1"/>
        </w:rPr>
        <w:t xml:space="preserve"> Iron does not cause empire; empire emerges when violence is stabilized and cognitively offloaded into infrastructure and bureaucracy.</w:t>
      </w:r>
      <w:r w:rsidR="00DB30C4" w:rsidRPr="00DB30C4">
        <w:rPr>
          <w:rStyle w:val="s1"/>
          <w:rFonts w:ascii="Gill Sans MT" w:hAnsi="Gill Sans MT"/>
          <w:noProof/>
          <w:color w:val="000000" w:themeColor="text1"/>
        </w:rPr>
        <w:pict>
          <v:rect id="_x0000_i1029"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lastRenderedPageBreak/>
        <w:t>VI. Empire as Fossilized Theft</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6.1 From Raiding to Taxation</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Repeated extraction rituals transform episodic plunder into taxation. Once conquest is bureaucratized, empire becomes structurally inevitable (Scott, 2017).</w:t>
      </w:r>
    </w:p>
    <w:p w:rsidR="0013710C" w:rsidRPr="0013710C" w:rsidRDefault="0013710C" w:rsidP="0013710C">
      <w:pPr>
        <w:pStyle w:val="Heading3"/>
        <w:rPr>
          <w:rFonts w:ascii="Gill Sans MT" w:hAnsi="Gill Sans MT"/>
          <w:color w:val="000000" w:themeColor="text1"/>
        </w:rPr>
      </w:pPr>
      <w:r w:rsidRPr="0013710C">
        <w:rPr>
          <w:rFonts w:ascii="Gill Sans MT" w:hAnsi="Gill Sans MT"/>
          <w:color w:val="000000" w:themeColor="text1"/>
        </w:rPr>
        <w:t>6.2 Medium Independence of Control</w:t>
      </w:r>
    </w:p>
    <w:p w:rsidR="0013710C" w:rsidRPr="0013710C" w:rsidRDefault="0013710C" w:rsidP="00243A53">
      <w:pPr>
        <w:pStyle w:val="p4"/>
        <w:ind w:firstLine="720"/>
        <w:rPr>
          <w:rFonts w:ascii="Gill Sans MT" w:hAnsi="Gill Sans MT"/>
          <w:color w:val="000000" w:themeColor="text1"/>
        </w:rPr>
      </w:pPr>
      <w:r w:rsidRPr="0013710C">
        <w:rPr>
          <w:rFonts w:ascii="Gill Sans MT" w:hAnsi="Gill Sans MT"/>
          <w:color w:val="000000" w:themeColor="text1"/>
        </w:rPr>
        <w:t>Empires converge on the same functional architecture regardless of symbolic medium.</w:t>
      </w:r>
    </w:p>
    <w:p w:rsidR="0013710C" w:rsidRPr="0013710C" w:rsidRDefault="0013710C" w:rsidP="0013710C">
      <w:pPr>
        <w:pStyle w:val="p3"/>
        <w:rPr>
          <w:rFonts w:ascii="Gill Sans MT" w:hAnsi="Gill Sans MT"/>
          <w:color w:val="000000" w:themeColor="text1"/>
        </w:rPr>
      </w:pPr>
      <w:r w:rsidRPr="0013710C">
        <w:rPr>
          <w:rFonts w:ascii="Gill Sans MT" w:hAnsi="Gill Sans MT"/>
          <w:b/>
          <w:bCs/>
          <w:color w:val="000000" w:themeColor="text1"/>
        </w:rPr>
        <w:t>Empirical Anchors:</w:t>
      </w:r>
    </w:p>
    <w:p w:rsidR="0013710C" w:rsidRPr="0013710C" w:rsidRDefault="0013710C" w:rsidP="0013710C">
      <w:pPr>
        <w:pStyle w:val="p1"/>
        <w:numPr>
          <w:ilvl w:val="0"/>
          <w:numId w:val="38"/>
        </w:numPr>
        <w:rPr>
          <w:rFonts w:ascii="Gill Sans MT" w:hAnsi="Gill Sans MT"/>
          <w:color w:val="000000" w:themeColor="text1"/>
        </w:rPr>
      </w:pPr>
      <w:r w:rsidRPr="0013710C">
        <w:rPr>
          <w:rStyle w:val="s1"/>
          <w:rFonts w:ascii="Gill Sans MT" w:hAnsi="Gill Sans MT"/>
          <w:b/>
          <w:bCs/>
          <w:color w:val="000000" w:themeColor="text1"/>
        </w:rPr>
        <w:t>Old Kingdom Egypt:</w:t>
      </w:r>
      <w:r w:rsidRPr="0013710C">
        <w:rPr>
          <w:rFonts w:ascii="Gill Sans MT" w:hAnsi="Gill Sans MT"/>
          <w:color w:val="000000" w:themeColor="text1"/>
        </w:rPr>
        <w:t xml:space="preserve"> Granaries, labor registers, and monumental construction.</w:t>
      </w:r>
    </w:p>
    <w:p w:rsidR="0013710C" w:rsidRPr="0013710C" w:rsidRDefault="0013710C" w:rsidP="0013710C">
      <w:pPr>
        <w:pStyle w:val="p1"/>
        <w:numPr>
          <w:ilvl w:val="0"/>
          <w:numId w:val="38"/>
        </w:numPr>
        <w:rPr>
          <w:rFonts w:ascii="Gill Sans MT" w:hAnsi="Gill Sans MT"/>
          <w:color w:val="000000" w:themeColor="text1"/>
        </w:rPr>
      </w:pPr>
      <w:r w:rsidRPr="0013710C">
        <w:rPr>
          <w:rStyle w:val="s1"/>
          <w:rFonts w:ascii="Gill Sans MT" w:hAnsi="Gill Sans MT"/>
          <w:b/>
          <w:bCs/>
          <w:color w:val="000000" w:themeColor="text1"/>
        </w:rPr>
        <w:t>Shang Dynasty China:</w:t>
      </w:r>
      <w:r w:rsidRPr="0013710C">
        <w:rPr>
          <w:rFonts w:ascii="Gill Sans MT" w:hAnsi="Gill Sans MT"/>
          <w:color w:val="000000" w:themeColor="text1"/>
        </w:rPr>
        <w:t xml:space="preserve"> Bronze ritual vessels and oracle bones stabilizing elite authority.</w:t>
      </w:r>
    </w:p>
    <w:p w:rsidR="0013710C" w:rsidRPr="0013710C" w:rsidRDefault="0013710C" w:rsidP="0013710C">
      <w:pPr>
        <w:pStyle w:val="p1"/>
        <w:numPr>
          <w:ilvl w:val="0"/>
          <w:numId w:val="38"/>
        </w:numPr>
        <w:rPr>
          <w:rFonts w:ascii="Gill Sans MT" w:hAnsi="Gill Sans MT"/>
          <w:color w:val="000000" w:themeColor="text1"/>
        </w:rPr>
      </w:pPr>
      <w:r w:rsidRPr="0013710C">
        <w:rPr>
          <w:rStyle w:val="s1"/>
          <w:rFonts w:ascii="Gill Sans MT" w:hAnsi="Gill Sans MT"/>
          <w:b/>
          <w:bCs/>
          <w:color w:val="000000" w:themeColor="text1"/>
        </w:rPr>
        <w:t>Inca Empire:</w:t>
      </w:r>
      <w:r w:rsidRPr="0013710C">
        <w:rPr>
          <w:rFonts w:ascii="Gill Sans MT" w:hAnsi="Gill Sans MT"/>
          <w:color w:val="000000" w:themeColor="text1"/>
        </w:rPr>
        <w:t xml:space="preserve"> Quipu systems enabling taxation and census without alphabetic writing.</w:t>
      </w:r>
    </w:p>
    <w:p w:rsidR="0013710C" w:rsidRPr="0013710C" w:rsidRDefault="0013710C" w:rsidP="0013710C">
      <w:pPr>
        <w:pStyle w:val="p2"/>
        <w:rPr>
          <w:rFonts w:ascii="Gill Sans MT" w:hAnsi="Gill Sans MT"/>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243A53" w:rsidRDefault="00243A53" w:rsidP="0013710C">
      <w:pPr>
        <w:pStyle w:val="p4"/>
        <w:rPr>
          <w:rStyle w:val="s2"/>
          <w:rFonts w:ascii="Gill Sans MT" w:hAnsi="Gill Sans MT"/>
          <w:b/>
          <w:bCs/>
          <w:color w:val="000000" w:themeColor="text1"/>
        </w:rPr>
      </w:pPr>
    </w:p>
    <w:p w:rsidR="0013710C" w:rsidRPr="0013710C" w:rsidRDefault="0013710C" w:rsidP="0013710C">
      <w:pPr>
        <w:pStyle w:val="p4"/>
        <w:rPr>
          <w:rFonts w:ascii="Gill Sans MT" w:hAnsi="Gill Sans MT"/>
          <w:color w:val="000000" w:themeColor="text1"/>
        </w:rPr>
      </w:pPr>
      <w:r w:rsidRPr="0013710C">
        <w:rPr>
          <w:rStyle w:val="s2"/>
          <w:rFonts w:ascii="Gill Sans MT" w:hAnsi="Gill Sans MT"/>
          <w:b/>
          <w:bCs/>
          <w:color w:val="000000" w:themeColor="text1"/>
        </w:rPr>
        <w:t>DSSM Definition:</w:t>
      </w:r>
      <w:r w:rsidRPr="0013710C">
        <w:rPr>
          <w:rFonts w:ascii="Gill Sans MT" w:hAnsi="Gill Sans MT"/>
          <w:color w:val="000000" w:themeColor="text1"/>
        </w:rPr>
        <w:t xml:space="preserve"> Empire equals conquest plus accounting plus infrastructure, stabilized across generations.</w:t>
      </w: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28"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VII. Synthesis: What Actually Evolves</w:t>
      </w:r>
    </w:p>
    <w:p w:rsidR="0013710C" w:rsidRPr="0013710C" w:rsidRDefault="0013710C" w:rsidP="00243A53">
      <w:pPr>
        <w:pStyle w:val="p4"/>
        <w:rPr>
          <w:rFonts w:ascii="Gill Sans MT" w:hAnsi="Gill Sans MT"/>
          <w:color w:val="000000" w:themeColor="text1"/>
        </w:rPr>
      </w:pPr>
      <w:r w:rsidRPr="0013710C">
        <w:rPr>
          <w:rFonts w:ascii="Gill Sans MT" w:hAnsi="Gill Sans MT"/>
          <w:color w:val="000000" w:themeColor="text1"/>
        </w:rPr>
        <w:t>Across subsistence, exchange, and warfare, the same DSSM processes recur: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2"/>
        <w:gridCol w:w="2479"/>
      </w:tblGrid>
      <w:tr w:rsidR="0013710C" w:rsidRPr="0013710C" w:rsidTr="00243A53">
        <w:trPr>
          <w:tblHeader/>
          <w:tblCellSpacing w:w="15" w:type="dxa"/>
          <w:jc w:val="center"/>
        </w:trPr>
        <w:tc>
          <w:tcPr>
            <w:tcW w:w="0" w:type="auto"/>
            <w:vAlign w:val="center"/>
            <w:hideMark/>
          </w:tcPr>
          <w:p w:rsidR="0013710C" w:rsidRPr="0013710C" w:rsidRDefault="0013710C">
            <w:pPr>
              <w:pStyle w:val="p1"/>
              <w:jc w:val="center"/>
              <w:rPr>
                <w:rFonts w:ascii="Gill Sans MT" w:hAnsi="Gill Sans MT"/>
                <w:b/>
                <w:bCs/>
                <w:color w:val="000000" w:themeColor="text1"/>
              </w:rPr>
            </w:pPr>
            <w:r w:rsidRPr="0013710C">
              <w:rPr>
                <w:rFonts w:ascii="Gill Sans MT" w:hAnsi="Gill Sans MT"/>
                <w:b/>
                <w:bCs/>
                <w:color w:val="000000" w:themeColor="text1"/>
              </w:rPr>
              <w:t>Process</w:t>
            </w:r>
          </w:p>
        </w:tc>
        <w:tc>
          <w:tcPr>
            <w:tcW w:w="0" w:type="auto"/>
            <w:vAlign w:val="center"/>
            <w:hideMark/>
          </w:tcPr>
          <w:p w:rsidR="0013710C" w:rsidRPr="0013710C" w:rsidRDefault="0013710C">
            <w:pPr>
              <w:pStyle w:val="p1"/>
              <w:jc w:val="center"/>
              <w:rPr>
                <w:rFonts w:ascii="Gill Sans MT" w:hAnsi="Gill Sans MT"/>
                <w:b/>
                <w:bCs/>
                <w:color w:val="000000" w:themeColor="text1"/>
              </w:rPr>
            </w:pPr>
            <w:r w:rsidRPr="0013710C">
              <w:rPr>
                <w:rFonts w:ascii="Gill Sans MT" w:hAnsi="Gill Sans MT"/>
                <w:b/>
                <w:bCs/>
                <w:color w:val="000000" w:themeColor="text1"/>
              </w:rPr>
              <w:t>Outcome</w:t>
            </w:r>
          </w:p>
        </w:tc>
      </w:tr>
      <w:tr w:rsidR="0013710C" w:rsidRPr="0013710C" w:rsidTr="00243A53">
        <w:trPr>
          <w:tblCellSpacing w:w="15" w:type="dxa"/>
          <w:jc w:val="center"/>
        </w:trPr>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Ritualized Survival</w:t>
            </w:r>
          </w:p>
        </w:tc>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Hunting, farming</w:t>
            </w:r>
          </w:p>
        </w:tc>
      </w:tr>
      <w:tr w:rsidR="0013710C" w:rsidRPr="0013710C" w:rsidTr="00243A53">
        <w:trPr>
          <w:tblCellSpacing w:w="15" w:type="dxa"/>
          <w:jc w:val="center"/>
        </w:trPr>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Symbolic Compression</w:t>
            </w:r>
          </w:p>
        </w:tc>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Exchange, writing</w:t>
            </w:r>
          </w:p>
        </w:tc>
      </w:tr>
      <w:tr w:rsidR="0013710C" w:rsidRPr="0013710C" w:rsidTr="00243A53">
        <w:trPr>
          <w:tblCellSpacing w:w="15" w:type="dxa"/>
          <w:jc w:val="center"/>
        </w:trPr>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Material Amplification</w:t>
            </w:r>
          </w:p>
        </w:tc>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Weapons, infrastructure</w:t>
            </w:r>
          </w:p>
        </w:tc>
      </w:tr>
      <w:tr w:rsidR="0013710C" w:rsidRPr="0013710C" w:rsidTr="00243A53">
        <w:trPr>
          <w:tblCellSpacing w:w="15" w:type="dxa"/>
          <w:jc w:val="center"/>
        </w:trPr>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Cognitive Offloading</w:t>
            </w:r>
          </w:p>
        </w:tc>
        <w:tc>
          <w:tcPr>
            <w:tcW w:w="0" w:type="auto"/>
            <w:vAlign w:val="center"/>
            <w:hideMark/>
          </w:tcPr>
          <w:p w:rsidR="0013710C" w:rsidRPr="0013710C" w:rsidRDefault="0013710C">
            <w:pPr>
              <w:pStyle w:val="p1"/>
              <w:rPr>
                <w:rFonts w:ascii="Gill Sans MT" w:hAnsi="Gill Sans MT"/>
                <w:color w:val="000000" w:themeColor="text1"/>
              </w:rPr>
            </w:pPr>
            <w:r w:rsidRPr="0013710C">
              <w:rPr>
                <w:rFonts w:ascii="Gill Sans MT" w:hAnsi="Gill Sans MT"/>
                <w:color w:val="000000" w:themeColor="text1"/>
              </w:rPr>
              <w:t>Bureaucracy, empire</w:t>
            </w:r>
          </w:p>
        </w:tc>
      </w:tr>
    </w:tbl>
    <w:p w:rsidR="0013710C" w:rsidRDefault="0013710C" w:rsidP="0013710C">
      <w:pPr>
        <w:pStyle w:val="p1"/>
        <w:rPr>
          <w:rFonts w:ascii="Gill Sans MT" w:hAnsi="Gill Sans MT"/>
          <w:color w:val="000000" w:themeColor="text1"/>
        </w:rPr>
      </w:pPr>
      <w:r w:rsidRPr="0013710C">
        <w:rPr>
          <w:rFonts w:ascii="Gill Sans MT" w:hAnsi="Gill Sans MT"/>
          <w:color w:val="000000" w:themeColor="text1"/>
        </w:rPr>
        <w:t>What evolves is not intelligence, but control over time, resources, and behavior.</w:t>
      </w: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Pr="0013710C" w:rsidRDefault="00243A53" w:rsidP="0013710C">
      <w:pPr>
        <w:pStyle w:val="p1"/>
        <w:rPr>
          <w:rFonts w:ascii="Gill Sans MT" w:hAnsi="Gill Sans MT"/>
          <w:color w:val="000000" w:themeColor="text1"/>
        </w:rPr>
      </w:pP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27"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VIII. Beyond Survival: Thriving as the New Driver</w:t>
      </w:r>
    </w:p>
    <w:p w:rsidR="0013710C" w:rsidRPr="0013710C" w:rsidRDefault="0013710C" w:rsidP="00243A53">
      <w:pPr>
        <w:pStyle w:val="p1"/>
        <w:ind w:firstLine="720"/>
        <w:rPr>
          <w:rFonts w:ascii="Gill Sans MT" w:hAnsi="Gill Sans MT"/>
          <w:color w:val="000000" w:themeColor="text1"/>
        </w:rPr>
      </w:pPr>
      <w:r w:rsidRPr="0013710C">
        <w:rPr>
          <w:rFonts w:ascii="Gill Sans MT" w:hAnsi="Gill Sans MT"/>
          <w:color w:val="000000" w:themeColor="text1"/>
        </w:rPr>
        <w:t>With subsistence largely stabilized, DSSM predicts a phase shift in which symbolic systems optimize coordination, identity, and influence rather than survival. Power migrates from material scarcity to informational dominance.</w:t>
      </w:r>
    </w:p>
    <w:p w:rsidR="0013710C" w:rsidRPr="0013710C" w:rsidRDefault="0013710C" w:rsidP="0013710C">
      <w:pPr>
        <w:pStyle w:val="p1"/>
        <w:rPr>
          <w:rFonts w:ascii="Gill Sans MT" w:hAnsi="Gill Sans MT"/>
          <w:color w:val="000000" w:themeColor="text1"/>
        </w:rPr>
      </w:pPr>
      <w:r w:rsidRPr="0013710C">
        <w:rPr>
          <w:rFonts w:ascii="Gill Sans MT" w:hAnsi="Gill Sans MT"/>
          <w:color w:val="000000" w:themeColor="text1"/>
        </w:rPr>
        <w:t>The next fossilizations will not be tools, but protocols.</w:t>
      </w:r>
    </w:p>
    <w:p w:rsidR="00243A53" w:rsidRDefault="00243A53" w:rsidP="0013710C">
      <w:pPr>
        <w:rPr>
          <w:rStyle w:val="s1"/>
          <w:rFonts w:ascii="Gill Sans MT" w:hAnsi="Gill Sans MT"/>
          <w:color w:val="000000" w:themeColor="text1"/>
        </w:rPr>
      </w:pP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pict>
          <v:rect id="_x0000_i1026"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IX. Conclusion</w:t>
      </w:r>
    </w:p>
    <w:p w:rsidR="0013710C" w:rsidRPr="0013710C" w:rsidRDefault="0013710C" w:rsidP="00243A53">
      <w:pPr>
        <w:pStyle w:val="p1"/>
        <w:ind w:firstLine="720"/>
        <w:rPr>
          <w:rFonts w:ascii="Gill Sans MT" w:hAnsi="Gill Sans MT"/>
          <w:color w:val="000000" w:themeColor="text1"/>
        </w:rPr>
      </w:pPr>
      <w:r w:rsidRPr="0013710C">
        <w:rPr>
          <w:rFonts w:ascii="Gill Sans MT" w:hAnsi="Gill Sans MT"/>
          <w:color w:val="000000" w:themeColor="text1"/>
        </w:rPr>
        <w:t>From stone tools to empires, human history follows a single cognitive trajectory. Repeated actions become rituals; rituals become objects; objects become institutions. Agriculture fossilizes patience. Writing fossilizes obligation. Empires fossilize conquest.</w:t>
      </w:r>
    </w:p>
    <w:p w:rsidR="0013710C" w:rsidRDefault="0013710C" w:rsidP="0013710C">
      <w:pPr>
        <w:pStyle w:val="p1"/>
        <w:rPr>
          <w:rFonts w:ascii="Gill Sans MT" w:hAnsi="Gill Sans MT"/>
          <w:color w:val="000000" w:themeColor="text1"/>
        </w:rPr>
      </w:pPr>
      <w:r w:rsidRPr="0013710C">
        <w:rPr>
          <w:rFonts w:ascii="Gill Sans MT" w:hAnsi="Gill Sans MT"/>
          <w:color w:val="000000" w:themeColor="text1"/>
        </w:rPr>
        <w:t>Nothing fundamental has changed—only scale. The future of technological evolution will be decided not by invention, but by which symbolic systems are allowed to fossilize next.</w:t>
      </w: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Default="00243A53" w:rsidP="0013710C">
      <w:pPr>
        <w:pStyle w:val="p1"/>
        <w:rPr>
          <w:rFonts w:ascii="Gill Sans MT" w:hAnsi="Gill Sans MT"/>
          <w:color w:val="000000" w:themeColor="text1"/>
        </w:rPr>
      </w:pPr>
    </w:p>
    <w:p w:rsidR="00243A53" w:rsidRPr="0013710C" w:rsidRDefault="00243A53" w:rsidP="0013710C">
      <w:pPr>
        <w:pStyle w:val="p1"/>
        <w:rPr>
          <w:rFonts w:ascii="Gill Sans MT" w:hAnsi="Gill Sans MT"/>
          <w:color w:val="000000" w:themeColor="text1"/>
        </w:rPr>
      </w:pPr>
    </w:p>
    <w:p w:rsidR="0013710C" w:rsidRPr="0013710C" w:rsidRDefault="00DB30C4" w:rsidP="0013710C">
      <w:pPr>
        <w:rPr>
          <w:rStyle w:val="s1"/>
          <w:rFonts w:ascii="Gill Sans MT" w:hAnsi="Gill Sans MT"/>
          <w:color w:val="000000" w:themeColor="text1"/>
        </w:rPr>
      </w:pPr>
      <w:r w:rsidRPr="00DB30C4">
        <w:rPr>
          <w:rStyle w:val="s1"/>
          <w:rFonts w:ascii="Gill Sans MT" w:hAnsi="Gill Sans MT"/>
          <w:noProof/>
          <w:color w:val="000000" w:themeColor="text1"/>
        </w:rPr>
        <w:lastRenderedPageBreak/>
        <w:pict>
          <v:rect id="_x0000_i1025" alt="" style="width:451.3pt;height:.05pt;mso-width-percent:0;mso-height-percent:0;mso-width-percent:0;mso-height-percent:0" o:hralign="center" o:hrstd="t" o:hr="t" fillcolor="#a0a0a0" stroked="f"/>
        </w:pict>
      </w:r>
    </w:p>
    <w:p w:rsidR="0013710C" w:rsidRPr="0013710C" w:rsidRDefault="0013710C" w:rsidP="0013710C">
      <w:pPr>
        <w:pStyle w:val="Heading2"/>
        <w:rPr>
          <w:rFonts w:ascii="Gill Sans MT" w:hAnsi="Gill Sans MT"/>
          <w:color w:val="000000" w:themeColor="text1"/>
        </w:rPr>
      </w:pPr>
      <w:r w:rsidRPr="0013710C">
        <w:rPr>
          <w:rFonts w:ascii="Gill Sans MT" w:hAnsi="Gill Sans MT"/>
          <w:color w:val="000000" w:themeColor="text1"/>
        </w:rPr>
        <w:t>References</w:t>
      </w:r>
    </w:p>
    <w:p w:rsidR="0013710C" w:rsidRPr="0013710C" w:rsidRDefault="0013710C" w:rsidP="0013710C">
      <w:pPr>
        <w:pStyle w:val="p3"/>
        <w:rPr>
          <w:rFonts w:ascii="Gill Sans MT" w:hAnsi="Gill Sans MT"/>
          <w:color w:val="000000" w:themeColor="text1"/>
        </w:rPr>
      </w:pPr>
    </w:p>
    <w:p w:rsidR="00243A53"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Bar-Yosef, O., &amp; Belfer-Cohen, A. (2020). Early food storage and social organization: Tel Tsaf, Israel. </w:t>
      </w:r>
      <w:r w:rsidRPr="0013710C">
        <w:rPr>
          <w:rFonts w:ascii="Gill Sans MT" w:hAnsi="Gill Sans MT"/>
          <w:i/>
          <w:iCs/>
          <w:color w:val="000000" w:themeColor="text1"/>
        </w:rPr>
        <w:t>Journal of Archaeological Science: Reports</w:t>
      </w:r>
      <w:r w:rsidRPr="0013710C">
        <w:rPr>
          <w:rFonts w:ascii="Gill Sans MT" w:hAnsi="Gill Sans MT"/>
          <w:color w:val="000000" w:themeColor="text1"/>
        </w:rPr>
        <w:t>, 31, 102280.</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Bauer, B. (2018). Complex societies of the Americas: Symbolic and material stabilization. </w:t>
      </w:r>
      <w:r w:rsidRPr="0013710C">
        <w:rPr>
          <w:rFonts w:ascii="Gill Sans MT" w:hAnsi="Gill Sans MT"/>
          <w:i/>
          <w:iCs/>
          <w:color w:val="000000" w:themeColor="text1"/>
        </w:rPr>
        <w:t>Latin American Antiquity</w:t>
      </w:r>
      <w:r w:rsidRPr="0013710C">
        <w:rPr>
          <w:rFonts w:ascii="Gill Sans MT" w:hAnsi="Gill Sans MT"/>
          <w:color w:val="000000" w:themeColor="text1"/>
        </w:rPr>
        <w:t>, 29(3), 401–423.</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Graeber, D., &amp; Wengrow, D. (2021). </w:t>
      </w:r>
      <w:r w:rsidRPr="0013710C">
        <w:rPr>
          <w:rFonts w:ascii="Gill Sans MT" w:hAnsi="Gill Sans MT"/>
          <w:i/>
          <w:iCs/>
          <w:color w:val="000000" w:themeColor="text1"/>
        </w:rPr>
        <w:t>The Dawn of Everything</w:t>
      </w:r>
      <w:r w:rsidRPr="0013710C">
        <w:rPr>
          <w:rFonts w:ascii="Gill Sans MT" w:hAnsi="Gill Sans MT"/>
          <w:color w:val="000000" w:themeColor="text1"/>
        </w:rPr>
        <w:t>. Farrar, Straus and Giroux.</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Graham, S., &amp; McIntosh, J. (2019). Transport, infrastructure, and societal coordination in early complex societies. </w:t>
      </w:r>
      <w:r w:rsidRPr="0013710C">
        <w:rPr>
          <w:rFonts w:ascii="Gill Sans MT" w:hAnsi="Gill Sans MT"/>
          <w:i/>
          <w:iCs/>
          <w:color w:val="000000" w:themeColor="text1"/>
        </w:rPr>
        <w:t>Cambridge Archaeological Journal</w:t>
      </w:r>
      <w:r w:rsidRPr="0013710C">
        <w:rPr>
          <w:rFonts w:ascii="Gill Sans MT" w:hAnsi="Gill Sans MT"/>
          <w:color w:val="000000" w:themeColor="text1"/>
        </w:rPr>
        <w:t>, 29(2), 145–169.</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Henshilwood, C. S., et al. (2018). Blombos Cave engraved ochres. </w:t>
      </w:r>
      <w:r w:rsidRPr="0013710C">
        <w:rPr>
          <w:rFonts w:ascii="Gill Sans MT" w:hAnsi="Gill Sans MT"/>
          <w:i/>
          <w:iCs/>
          <w:color w:val="000000" w:themeColor="text1"/>
        </w:rPr>
        <w:t>Science Advances</w:t>
      </w:r>
      <w:r w:rsidRPr="0013710C">
        <w:rPr>
          <w:rFonts w:ascii="Gill Sans MT" w:hAnsi="Gill Sans MT"/>
          <w:color w:val="000000" w:themeColor="text1"/>
        </w:rPr>
        <w:t>, 4(6), eaap8688.</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Hodder, I. (2006). </w:t>
      </w:r>
      <w:r w:rsidRPr="0013710C">
        <w:rPr>
          <w:rFonts w:ascii="Gill Sans MT" w:hAnsi="Gill Sans MT"/>
          <w:i/>
          <w:iCs/>
          <w:color w:val="000000" w:themeColor="text1"/>
        </w:rPr>
        <w:t>Çatalhöyük Excavations: Architecture and Social Practice</w:t>
      </w:r>
      <w:r w:rsidRPr="0013710C">
        <w:rPr>
          <w:rFonts w:ascii="Gill Sans MT" w:hAnsi="Gill Sans MT"/>
          <w:color w:val="000000" w:themeColor="text1"/>
        </w:rPr>
        <w:t>. Cambridge University Press.</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Joyce, R. (2020). Cognition and mobility in early civilizations. </w:t>
      </w:r>
      <w:r w:rsidRPr="0013710C">
        <w:rPr>
          <w:rFonts w:ascii="Gill Sans MT" w:hAnsi="Gill Sans MT"/>
          <w:i/>
          <w:iCs/>
          <w:color w:val="000000" w:themeColor="text1"/>
        </w:rPr>
        <w:t>Journal of Archaeological Method and Theory</w:t>
      </w:r>
      <w:r w:rsidRPr="0013710C">
        <w:rPr>
          <w:rFonts w:ascii="Gill Sans MT" w:hAnsi="Gill Sans MT"/>
          <w:color w:val="000000" w:themeColor="text1"/>
        </w:rPr>
        <w:t>, 27(4), 1122–1145.</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Marean, C. W. (2015). The origins and significance of early fire use. </w:t>
      </w:r>
      <w:r w:rsidRPr="0013710C">
        <w:rPr>
          <w:rFonts w:ascii="Gill Sans MT" w:hAnsi="Gill Sans MT"/>
          <w:i/>
          <w:iCs/>
          <w:color w:val="000000" w:themeColor="text1"/>
        </w:rPr>
        <w:t>Current Anthropology</w:t>
      </w:r>
      <w:r w:rsidRPr="0013710C">
        <w:rPr>
          <w:rFonts w:ascii="Gill Sans MT" w:hAnsi="Gill Sans MT"/>
          <w:color w:val="000000" w:themeColor="text1"/>
        </w:rPr>
        <w:t>, 56(1), 70–90.</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Scott, J. C. (2017). </w:t>
      </w:r>
      <w:r w:rsidRPr="0013710C">
        <w:rPr>
          <w:rFonts w:ascii="Gill Sans MT" w:hAnsi="Gill Sans MT"/>
          <w:i/>
          <w:iCs/>
          <w:color w:val="000000" w:themeColor="text1"/>
        </w:rPr>
        <w:t>Against the Grain</w:t>
      </w:r>
      <w:r w:rsidRPr="0013710C">
        <w:rPr>
          <w:rFonts w:ascii="Gill Sans MT" w:hAnsi="Gill Sans MT"/>
          <w:color w:val="000000" w:themeColor="text1"/>
        </w:rPr>
        <w:t>. Yale University Press.</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Stout, D., Hecht, E., &amp; Chaminade, T. (2018). Cognitive foundations of tool use. </w:t>
      </w:r>
      <w:r w:rsidRPr="0013710C">
        <w:rPr>
          <w:rFonts w:ascii="Gill Sans MT" w:hAnsi="Gill Sans MT"/>
          <w:i/>
          <w:iCs/>
          <w:color w:val="000000" w:themeColor="text1"/>
        </w:rPr>
        <w:t>Current Anthropology</w:t>
      </w:r>
      <w:r w:rsidRPr="0013710C">
        <w:rPr>
          <w:rFonts w:ascii="Gill Sans MT" w:hAnsi="Gill Sans MT"/>
          <w:color w:val="000000" w:themeColor="text1"/>
        </w:rPr>
        <w:t>, 59(2), 205–227.</w:t>
      </w:r>
    </w:p>
    <w:p w:rsidR="0013710C" w:rsidRPr="0013710C" w:rsidRDefault="0013710C" w:rsidP="00243A53">
      <w:pPr>
        <w:pStyle w:val="p1"/>
        <w:numPr>
          <w:ilvl w:val="0"/>
          <w:numId w:val="40"/>
        </w:numPr>
        <w:rPr>
          <w:rFonts w:ascii="Gill Sans MT" w:hAnsi="Gill Sans MT"/>
          <w:color w:val="000000" w:themeColor="text1"/>
        </w:rPr>
      </w:pPr>
      <w:r w:rsidRPr="0013710C">
        <w:rPr>
          <w:rFonts w:ascii="Gill Sans MT" w:hAnsi="Gill Sans MT"/>
          <w:color w:val="000000" w:themeColor="text1"/>
        </w:rPr>
        <w:t xml:space="preserve">Zhang, L. (2017). Neolithic Chinese ritual architecture and temporal cognition. </w:t>
      </w:r>
      <w:r w:rsidRPr="0013710C">
        <w:rPr>
          <w:rFonts w:ascii="Gill Sans MT" w:hAnsi="Gill Sans MT"/>
          <w:i/>
          <w:iCs/>
          <w:color w:val="000000" w:themeColor="text1"/>
        </w:rPr>
        <w:t>Antiquity</w:t>
      </w:r>
      <w:r w:rsidRPr="0013710C">
        <w:rPr>
          <w:rFonts w:ascii="Gill Sans MT" w:hAnsi="Gill Sans MT"/>
          <w:color w:val="000000" w:themeColor="text1"/>
        </w:rPr>
        <w:t>, 91(358), 1055–1072.</w:t>
      </w:r>
    </w:p>
    <w:p w:rsidR="005624ED" w:rsidRPr="0013710C" w:rsidRDefault="005624ED" w:rsidP="00243A53">
      <w:pPr>
        <w:rPr>
          <w:rFonts w:ascii="Gill Sans MT" w:hAnsi="Gill Sans MT"/>
          <w:color w:val="000000" w:themeColor="text1"/>
        </w:rPr>
      </w:pPr>
    </w:p>
    <w:sectPr w:rsidR="005624ED" w:rsidRPr="00137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FFB"/>
    <w:multiLevelType w:val="multilevel"/>
    <w:tmpl w:val="675A7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099D"/>
    <w:multiLevelType w:val="multilevel"/>
    <w:tmpl w:val="1ED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818C1"/>
    <w:multiLevelType w:val="hybridMultilevel"/>
    <w:tmpl w:val="B4B8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91669"/>
    <w:multiLevelType w:val="multilevel"/>
    <w:tmpl w:val="FD7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21493"/>
    <w:multiLevelType w:val="multilevel"/>
    <w:tmpl w:val="0FD6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E7064"/>
    <w:multiLevelType w:val="multilevel"/>
    <w:tmpl w:val="D440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E24AC"/>
    <w:multiLevelType w:val="multilevel"/>
    <w:tmpl w:val="126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A1374"/>
    <w:multiLevelType w:val="multilevel"/>
    <w:tmpl w:val="DD0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85A4E"/>
    <w:multiLevelType w:val="multilevel"/>
    <w:tmpl w:val="44F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D320C"/>
    <w:multiLevelType w:val="multilevel"/>
    <w:tmpl w:val="4EE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42BF5"/>
    <w:multiLevelType w:val="multilevel"/>
    <w:tmpl w:val="3732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25537"/>
    <w:multiLevelType w:val="multilevel"/>
    <w:tmpl w:val="C6EA7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55DBA"/>
    <w:multiLevelType w:val="multilevel"/>
    <w:tmpl w:val="CF1A9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B4C03"/>
    <w:multiLevelType w:val="multilevel"/>
    <w:tmpl w:val="CCDE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C61BF"/>
    <w:multiLevelType w:val="multilevel"/>
    <w:tmpl w:val="67B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E0014"/>
    <w:multiLevelType w:val="multilevel"/>
    <w:tmpl w:val="4BCA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350DD"/>
    <w:multiLevelType w:val="multilevel"/>
    <w:tmpl w:val="D84C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765A8"/>
    <w:multiLevelType w:val="multilevel"/>
    <w:tmpl w:val="5CA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D4B93"/>
    <w:multiLevelType w:val="hybridMultilevel"/>
    <w:tmpl w:val="334A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737E0"/>
    <w:multiLevelType w:val="multilevel"/>
    <w:tmpl w:val="A99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A284B"/>
    <w:multiLevelType w:val="multilevel"/>
    <w:tmpl w:val="6294605E"/>
    <w:lvl w:ilvl="0">
      <w:start w:val="1"/>
      <w:numFmt w:val="decimal"/>
      <w:lvlText w:val="%1."/>
      <w:lvlJc w:val="left"/>
      <w:pPr>
        <w:tabs>
          <w:tab w:val="num" w:pos="786"/>
        </w:tabs>
        <w:ind w:left="786" w:hanging="360"/>
      </w:pPr>
      <w:rPr>
        <w:b w:val="0"/>
        <w:bCs w:val="0"/>
        <w:i w:val="0"/>
        <w:i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6E2480"/>
    <w:multiLevelType w:val="multilevel"/>
    <w:tmpl w:val="E86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E2F11"/>
    <w:multiLevelType w:val="multilevel"/>
    <w:tmpl w:val="A7B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55568"/>
    <w:multiLevelType w:val="multilevel"/>
    <w:tmpl w:val="8808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E45E0"/>
    <w:multiLevelType w:val="multilevel"/>
    <w:tmpl w:val="C608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631B7"/>
    <w:multiLevelType w:val="multilevel"/>
    <w:tmpl w:val="03AE6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86052"/>
    <w:multiLevelType w:val="multilevel"/>
    <w:tmpl w:val="FEA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65C72"/>
    <w:multiLevelType w:val="multilevel"/>
    <w:tmpl w:val="8A4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B4C7A"/>
    <w:multiLevelType w:val="multilevel"/>
    <w:tmpl w:val="5E1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A1EA6"/>
    <w:multiLevelType w:val="multilevel"/>
    <w:tmpl w:val="F79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756BC"/>
    <w:multiLevelType w:val="multilevel"/>
    <w:tmpl w:val="4CC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53976"/>
    <w:multiLevelType w:val="multilevel"/>
    <w:tmpl w:val="43C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16FA1"/>
    <w:multiLevelType w:val="multilevel"/>
    <w:tmpl w:val="A35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B73C7"/>
    <w:multiLevelType w:val="multilevel"/>
    <w:tmpl w:val="B2A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4778A"/>
    <w:multiLevelType w:val="multilevel"/>
    <w:tmpl w:val="6B6A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E22EF"/>
    <w:multiLevelType w:val="multilevel"/>
    <w:tmpl w:val="D66A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C2A5E"/>
    <w:multiLevelType w:val="multilevel"/>
    <w:tmpl w:val="4B1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93E77"/>
    <w:multiLevelType w:val="multilevel"/>
    <w:tmpl w:val="3AF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32D05"/>
    <w:multiLevelType w:val="multilevel"/>
    <w:tmpl w:val="AAE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C1194"/>
    <w:multiLevelType w:val="multilevel"/>
    <w:tmpl w:val="1EB20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B0B7F"/>
    <w:multiLevelType w:val="multilevel"/>
    <w:tmpl w:val="5C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598440">
    <w:abstractNumId w:val="23"/>
  </w:num>
  <w:num w:numId="2" w16cid:durableId="511066435">
    <w:abstractNumId w:val="14"/>
  </w:num>
  <w:num w:numId="3" w16cid:durableId="1734616111">
    <w:abstractNumId w:val="35"/>
  </w:num>
  <w:num w:numId="4" w16cid:durableId="1784425108">
    <w:abstractNumId w:val="27"/>
  </w:num>
  <w:num w:numId="5" w16cid:durableId="577977628">
    <w:abstractNumId w:val="9"/>
  </w:num>
  <w:num w:numId="6" w16cid:durableId="475803159">
    <w:abstractNumId w:val="16"/>
  </w:num>
  <w:num w:numId="7" w16cid:durableId="1732079075">
    <w:abstractNumId w:val="30"/>
  </w:num>
  <w:num w:numId="8" w16cid:durableId="2095393361">
    <w:abstractNumId w:val="29"/>
  </w:num>
  <w:num w:numId="9" w16cid:durableId="1574000467">
    <w:abstractNumId w:val="11"/>
  </w:num>
  <w:num w:numId="10" w16cid:durableId="2043355338">
    <w:abstractNumId w:val="26"/>
  </w:num>
  <w:num w:numId="11" w16cid:durableId="276059214">
    <w:abstractNumId w:val="10"/>
  </w:num>
  <w:num w:numId="12" w16cid:durableId="219362103">
    <w:abstractNumId w:val="4"/>
  </w:num>
  <w:num w:numId="13" w16cid:durableId="1646200503">
    <w:abstractNumId w:val="0"/>
  </w:num>
  <w:num w:numId="14" w16cid:durableId="360515085">
    <w:abstractNumId w:val="39"/>
  </w:num>
  <w:num w:numId="15" w16cid:durableId="605383811">
    <w:abstractNumId w:val="28"/>
  </w:num>
  <w:num w:numId="16" w16cid:durableId="1242252931">
    <w:abstractNumId w:val="17"/>
  </w:num>
  <w:num w:numId="17" w16cid:durableId="885065327">
    <w:abstractNumId w:val="32"/>
  </w:num>
  <w:num w:numId="18" w16cid:durableId="376708801">
    <w:abstractNumId w:val="40"/>
  </w:num>
  <w:num w:numId="19" w16cid:durableId="908154239">
    <w:abstractNumId w:val="3"/>
  </w:num>
  <w:num w:numId="20" w16cid:durableId="353649910">
    <w:abstractNumId w:val="13"/>
  </w:num>
  <w:num w:numId="21" w16cid:durableId="357239285">
    <w:abstractNumId w:val="33"/>
  </w:num>
  <w:num w:numId="22" w16cid:durableId="1836992806">
    <w:abstractNumId w:val="12"/>
  </w:num>
  <w:num w:numId="23" w16cid:durableId="832260397">
    <w:abstractNumId w:val="34"/>
  </w:num>
  <w:num w:numId="24" w16cid:durableId="1939408945">
    <w:abstractNumId w:val="7"/>
  </w:num>
  <w:num w:numId="25" w16cid:durableId="673802041">
    <w:abstractNumId w:val="37"/>
  </w:num>
  <w:num w:numId="26" w16cid:durableId="153496047">
    <w:abstractNumId w:val="25"/>
  </w:num>
  <w:num w:numId="27" w16cid:durableId="1493986851">
    <w:abstractNumId w:val="38"/>
  </w:num>
  <w:num w:numId="28" w16cid:durableId="1932469078">
    <w:abstractNumId w:val="5"/>
  </w:num>
  <w:num w:numId="29" w16cid:durableId="1482696191">
    <w:abstractNumId w:val="8"/>
  </w:num>
  <w:num w:numId="30" w16cid:durableId="1005404034">
    <w:abstractNumId w:val="36"/>
  </w:num>
  <w:num w:numId="31" w16cid:durableId="36857265">
    <w:abstractNumId w:val="15"/>
  </w:num>
  <w:num w:numId="32" w16cid:durableId="1188788825">
    <w:abstractNumId w:val="1"/>
  </w:num>
  <w:num w:numId="33" w16cid:durableId="2073116469">
    <w:abstractNumId w:val="19"/>
  </w:num>
  <w:num w:numId="34" w16cid:durableId="1201167084">
    <w:abstractNumId w:val="6"/>
  </w:num>
  <w:num w:numId="35" w16cid:durableId="156463016">
    <w:abstractNumId w:val="31"/>
  </w:num>
  <w:num w:numId="36" w16cid:durableId="1509783851">
    <w:abstractNumId w:val="24"/>
  </w:num>
  <w:num w:numId="37" w16cid:durableId="856190347">
    <w:abstractNumId w:val="21"/>
  </w:num>
  <w:num w:numId="38" w16cid:durableId="36974607">
    <w:abstractNumId w:val="22"/>
  </w:num>
  <w:num w:numId="39" w16cid:durableId="499008734">
    <w:abstractNumId w:val="18"/>
  </w:num>
  <w:num w:numId="40" w16cid:durableId="1131092039">
    <w:abstractNumId w:val="2"/>
  </w:num>
  <w:num w:numId="41" w16cid:durableId="1181818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0E"/>
    <w:rsid w:val="00066434"/>
    <w:rsid w:val="0013710C"/>
    <w:rsid w:val="00243A53"/>
    <w:rsid w:val="0037080E"/>
    <w:rsid w:val="005624ED"/>
    <w:rsid w:val="00607149"/>
    <w:rsid w:val="007821AF"/>
    <w:rsid w:val="00DB30C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031"/>
  <w15:chartTrackingRefBased/>
  <w15:docId w15:val="{ACEBFF9C-9C0E-A146-A7E7-4686AB8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8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7080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7080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7080E"/>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37080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7080E"/>
  </w:style>
  <w:style w:type="character" w:customStyle="1" w:styleId="apple-tab-span">
    <w:name w:val="apple-tab-span"/>
    <w:basedOn w:val="DefaultParagraphFont"/>
    <w:rsid w:val="0037080E"/>
  </w:style>
  <w:style w:type="character" w:customStyle="1" w:styleId="Heading2Char">
    <w:name w:val="Heading 2 Char"/>
    <w:basedOn w:val="DefaultParagraphFont"/>
    <w:link w:val="Heading2"/>
    <w:uiPriority w:val="9"/>
    <w:rsid w:val="0037080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7080E"/>
    <w:rPr>
      <w:rFonts w:ascii="Times New Roman" w:eastAsia="Times New Roman" w:hAnsi="Times New Roman" w:cs="Times New Roman"/>
      <w:b/>
      <w:bCs/>
      <w:sz w:val="27"/>
      <w:szCs w:val="27"/>
      <w:lang w:eastAsia="en-GB"/>
    </w:rPr>
  </w:style>
  <w:style w:type="character" w:customStyle="1" w:styleId="s1">
    <w:name w:val="s1"/>
    <w:basedOn w:val="DefaultParagraphFont"/>
    <w:rsid w:val="0037080E"/>
  </w:style>
  <w:style w:type="paragraph" w:customStyle="1" w:styleId="p3">
    <w:name w:val="p3"/>
    <w:basedOn w:val="Normal"/>
    <w:rsid w:val="0037080E"/>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37080E"/>
  </w:style>
  <w:style w:type="paragraph" w:customStyle="1" w:styleId="p4">
    <w:name w:val="p4"/>
    <w:basedOn w:val="Normal"/>
    <w:rsid w:val="0037080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37080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7080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7080E"/>
    <w:rPr>
      <w:b/>
      <w:bCs/>
    </w:rPr>
  </w:style>
  <w:style w:type="character" w:styleId="Emphasis">
    <w:name w:val="Emphasis"/>
    <w:basedOn w:val="DefaultParagraphFont"/>
    <w:uiPriority w:val="20"/>
    <w:qFormat/>
    <w:rsid w:val="0037080E"/>
    <w:rPr>
      <w:i/>
      <w:iCs/>
    </w:rPr>
  </w:style>
  <w:style w:type="paragraph" w:styleId="ListParagraph">
    <w:name w:val="List Paragraph"/>
    <w:basedOn w:val="Normal"/>
    <w:uiPriority w:val="34"/>
    <w:qFormat/>
    <w:rsid w:val="007821AF"/>
    <w:pPr>
      <w:ind w:left="720"/>
      <w:contextualSpacing/>
    </w:pPr>
  </w:style>
  <w:style w:type="character" w:styleId="Hyperlink">
    <w:name w:val="Hyperlink"/>
    <w:basedOn w:val="DefaultParagraphFont"/>
    <w:uiPriority w:val="99"/>
    <w:unhideWhenUsed/>
    <w:rsid w:val="007821AF"/>
    <w:rPr>
      <w:color w:val="0563C1" w:themeColor="hyperlink"/>
      <w:u w:val="single"/>
    </w:rPr>
  </w:style>
  <w:style w:type="character" w:styleId="UnresolvedMention">
    <w:name w:val="Unresolved Mention"/>
    <w:basedOn w:val="DefaultParagraphFont"/>
    <w:uiPriority w:val="99"/>
    <w:semiHidden/>
    <w:unhideWhenUsed/>
    <w:rsid w:val="00066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0550">
      <w:bodyDiv w:val="1"/>
      <w:marLeft w:val="0"/>
      <w:marRight w:val="0"/>
      <w:marTop w:val="0"/>
      <w:marBottom w:val="0"/>
      <w:divBdr>
        <w:top w:val="none" w:sz="0" w:space="0" w:color="auto"/>
        <w:left w:val="none" w:sz="0" w:space="0" w:color="auto"/>
        <w:bottom w:val="none" w:sz="0" w:space="0" w:color="auto"/>
        <w:right w:val="none" w:sz="0" w:space="0" w:color="auto"/>
      </w:divBdr>
    </w:div>
    <w:div w:id="296110205">
      <w:bodyDiv w:val="1"/>
      <w:marLeft w:val="0"/>
      <w:marRight w:val="0"/>
      <w:marTop w:val="0"/>
      <w:marBottom w:val="0"/>
      <w:divBdr>
        <w:top w:val="none" w:sz="0" w:space="0" w:color="auto"/>
        <w:left w:val="none" w:sz="0" w:space="0" w:color="auto"/>
        <w:bottom w:val="none" w:sz="0" w:space="0" w:color="auto"/>
        <w:right w:val="none" w:sz="0" w:space="0" w:color="auto"/>
      </w:divBdr>
    </w:div>
    <w:div w:id="1153569529">
      <w:bodyDiv w:val="1"/>
      <w:marLeft w:val="0"/>
      <w:marRight w:val="0"/>
      <w:marTop w:val="0"/>
      <w:marBottom w:val="0"/>
      <w:divBdr>
        <w:top w:val="none" w:sz="0" w:space="0" w:color="auto"/>
        <w:left w:val="none" w:sz="0" w:space="0" w:color="auto"/>
        <w:bottom w:val="none" w:sz="0" w:space="0" w:color="auto"/>
        <w:right w:val="none" w:sz="0" w:space="0" w:color="auto"/>
      </w:divBdr>
    </w:div>
    <w:div w:id="1492142436">
      <w:bodyDiv w:val="1"/>
      <w:marLeft w:val="0"/>
      <w:marRight w:val="0"/>
      <w:marTop w:val="0"/>
      <w:marBottom w:val="0"/>
      <w:divBdr>
        <w:top w:val="none" w:sz="0" w:space="0" w:color="auto"/>
        <w:left w:val="none" w:sz="0" w:space="0" w:color="auto"/>
        <w:bottom w:val="none" w:sz="0" w:space="0" w:color="auto"/>
        <w:right w:val="none" w:sz="0" w:space="0" w:color="auto"/>
      </w:divBdr>
    </w:div>
    <w:div w:id="1782917931">
      <w:bodyDiv w:val="1"/>
      <w:marLeft w:val="0"/>
      <w:marRight w:val="0"/>
      <w:marTop w:val="0"/>
      <w:marBottom w:val="0"/>
      <w:divBdr>
        <w:top w:val="none" w:sz="0" w:space="0" w:color="auto"/>
        <w:left w:val="none" w:sz="0" w:space="0" w:color="auto"/>
        <w:bottom w:val="none" w:sz="0" w:space="0" w:color="auto"/>
        <w:right w:val="none" w:sz="0" w:space="0" w:color="auto"/>
      </w:divBdr>
    </w:div>
    <w:div w:id="19343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084/m9.figshare.31061698.v3" TargetMode="External"/><Relationship Id="rId5" Type="http://schemas.openxmlformats.org/officeDocument/2006/relationships/hyperlink" Target="https://doi.org/10.6084/m9.figshare.310814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2026-01-17T15:04:00Z</cp:lastPrinted>
  <dcterms:created xsi:type="dcterms:W3CDTF">2026-01-17T15:04:00Z</dcterms:created>
  <dcterms:modified xsi:type="dcterms:W3CDTF">2026-01-17T15:09:00Z</dcterms:modified>
</cp:coreProperties>
</file>