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50F6" w:rsidRPr="003750F6" w:rsidRDefault="003750F6" w:rsidP="003750F6">
      <w:pPr>
        <w:spacing w:before="100" w:beforeAutospacing="1" w:after="100" w:afterAutospacing="1"/>
        <w:outlineLvl w:val="0"/>
        <w:rPr>
          <w:rFonts w:ascii="Gill Sans MT" w:eastAsia="Times New Roman" w:hAnsi="Gill Sans MT" w:cs="Times New Roman"/>
          <w:b/>
          <w:bCs/>
          <w:kern w:val="36"/>
          <w:sz w:val="72"/>
          <w:szCs w:val="72"/>
          <w:lang w:eastAsia="en-GB"/>
        </w:rPr>
      </w:pPr>
      <w:r w:rsidRPr="003750F6">
        <w:rPr>
          <w:rFonts w:ascii="Gill Sans MT" w:eastAsia="Times New Roman" w:hAnsi="Gill Sans MT" w:cs="Times New Roman"/>
          <w:b/>
          <w:bCs/>
          <w:kern w:val="36"/>
          <w:sz w:val="72"/>
          <w:szCs w:val="72"/>
          <w:lang w:eastAsia="en-GB"/>
        </w:rPr>
        <w:t>Technology as Fossilized Ritual</w:t>
      </w:r>
    </w:p>
    <w:p w:rsidR="003750F6" w:rsidRPr="003750F6" w:rsidRDefault="003750F6" w:rsidP="003750F6">
      <w:pPr>
        <w:spacing w:before="100" w:beforeAutospacing="1" w:after="100" w:afterAutospacing="1"/>
        <w:rPr>
          <w:rFonts w:ascii="Gill Sans MT" w:eastAsia="Times New Roman" w:hAnsi="Gill Sans MT" w:cs="Times New Roman"/>
          <w:i/>
          <w:iCs/>
          <w:lang w:eastAsia="en-GB"/>
        </w:rPr>
      </w:pPr>
      <w:r w:rsidRPr="003750F6">
        <w:rPr>
          <w:rFonts w:ascii="Gill Sans MT" w:eastAsia="Times New Roman" w:hAnsi="Gill Sans MT" w:cs="Times New Roman"/>
          <w:i/>
          <w:iCs/>
          <w:lang w:eastAsia="en-GB"/>
        </w:rPr>
        <w:t>Extending the Deep Symbolic Systems Model Beyond Prehistory</w:t>
      </w:r>
    </w:p>
    <w:p w:rsidR="003750F6" w:rsidRDefault="003750F6"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A52515" w:rsidRDefault="00A52515" w:rsidP="003750F6">
      <w:pPr>
        <w:spacing w:before="100" w:beforeAutospacing="1" w:after="100" w:afterAutospacing="1"/>
        <w:rPr>
          <w:rFonts w:ascii="Gill Sans MT" w:eastAsia="Times New Roman" w:hAnsi="Gill Sans MT" w:cs="Times New Roman"/>
          <w:lang w:eastAsia="en-GB"/>
        </w:rPr>
      </w:pPr>
    </w:p>
    <w:p w:rsidR="00A52515" w:rsidRDefault="00A52515" w:rsidP="003750F6">
      <w:pPr>
        <w:spacing w:before="100" w:beforeAutospacing="1" w:after="100" w:afterAutospacing="1"/>
        <w:rPr>
          <w:rFonts w:ascii="Gill Sans MT" w:eastAsia="Times New Roman" w:hAnsi="Gill Sans MT" w:cs="Times New Roman"/>
          <w:lang w:eastAsia="en-GB"/>
        </w:rPr>
      </w:pPr>
    </w:p>
    <w:p w:rsidR="00A52515" w:rsidRDefault="00A52515" w:rsidP="003750F6">
      <w:pPr>
        <w:spacing w:before="100" w:beforeAutospacing="1" w:after="100" w:afterAutospacing="1"/>
        <w:rPr>
          <w:rFonts w:ascii="Gill Sans MT" w:eastAsia="Times New Roman" w:hAnsi="Gill Sans MT" w:cs="Times New Roman"/>
          <w:lang w:eastAsia="en-GB"/>
        </w:rPr>
      </w:pPr>
    </w:p>
    <w:p w:rsidR="00A52515" w:rsidRDefault="00A52515" w:rsidP="003750F6">
      <w:pPr>
        <w:spacing w:before="100" w:beforeAutospacing="1" w:after="100" w:afterAutospacing="1"/>
        <w:rPr>
          <w:rFonts w:ascii="Gill Sans MT" w:eastAsia="Times New Roman" w:hAnsi="Gill Sans MT" w:cs="Times New Roman"/>
          <w:lang w:eastAsia="en-GB"/>
        </w:rPr>
      </w:pPr>
    </w:p>
    <w:p w:rsidR="003750F6" w:rsidRDefault="003750F6" w:rsidP="003750F6">
      <w:pPr>
        <w:spacing w:before="100" w:beforeAutospacing="1" w:after="100" w:afterAutospacing="1"/>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Anthony Vondoom</w:t>
      </w:r>
    </w:p>
    <w:p w:rsidR="00097D43" w:rsidRDefault="00000000" w:rsidP="003750F6">
      <w:pPr>
        <w:spacing w:before="100" w:beforeAutospacing="1" w:after="100" w:afterAutospacing="1"/>
        <w:rPr>
          <w:rFonts w:ascii="Gill Sans MT" w:eastAsia="Times New Roman" w:hAnsi="Gill Sans MT" w:cs="Times New Roman"/>
          <w:lang w:eastAsia="en-GB"/>
        </w:rPr>
      </w:pPr>
      <w:hyperlink r:id="rId5" w:history="1">
        <w:r w:rsidR="00097D43" w:rsidRPr="00097D43">
          <w:rPr>
            <w:rStyle w:val="Hyperlink"/>
            <w:rFonts w:ascii="Gill Sans MT" w:eastAsia="Times New Roman" w:hAnsi="Gill Sans MT" w:cs="Times New Roman"/>
            <w:lang w:eastAsia="en-GB"/>
          </w:rPr>
          <w:t>https://doi.org/10.6084/m9.figshare.31081438</w:t>
        </w:r>
      </w:hyperlink>
    </w:p>
    <w:p w:rsidR="00097D43" w:rsidRPr="003750F6" w:rsidRDefault="00097D43" w:rsidP="003750F6">
      <w:pPr>
        <w:spacing w:before="100" w:beforeAutospacing="1" w:after="100" w:afterAutospacing="1"/>
        <w:rPr>
          <w:rFonts w:ascii="Gill Sans MT" w:eastAsia="Times New Roman" w:hAnsi="Gill Sans MT" w:cs="Times New Roman"/>
          <w:lang w:eastAsia="en-GB"/>
        </w:rPr>
      </w:pPr>
    </w:p>
    <w:p w:rsidR="00A52515" w:rsidRPr="00A52515" w:rsidRDefault="00A52515" w:rsidP="00A52515">
      <w:pPr>
        <w:pStyle w:val="p1"/>
        <w:rPr>
          <w:rFonts w:ascii="Gill Sans MT" w:hAnsi="Gill Sans MT"/>
        </w:rPr>
      </w:pPr>
      <w:r w:rsidRPr="00A52515">
        <w:rPr>
          <w:rFonts w:ascii="Gill Sans MT" w:hAnsi="Gill Sans MT"/>
        </w:rPr>
        <w:t>This paper is conceptually and methodologically related to the foundational work on the Deep Symbolic Systems Model (DSSM) by Vondoom, A.:</w:t>
      </w:r>
    </w:p>
    <w:p w:rsidR="00A52515" w:rsidRPr="00A52515" w:rsidRDefault="00A52515" w:rsidP="00A52515">
      <w:pPr>
        <w:pStyle w:val="p1"/>
        <w:numPr>
          <w:ilvl w:val="1"/>
          <w:numId w:val="17"/>
        </w:numPr>
        <w:rPr>
          <w:rFonts w:ascii="Gill Sans MT" w:hAnsi="Gill Sans MT"/>
        </w:rPr>
      </w:pPr>
      <w:r w:rsidRPr="00A52515">
        <w:rPr>
          <w:rStyle w:val="s1"/>
          <w:rFonts w:ascii="Gill Sans MT" w:hAnsi="Gill Sans MT"/>
          <w:b/>
          <w:bCs/>
        </w:rPr>
        <w:t>Vondoom, A. (2025, December 30).</w:t>
      </w:r>
      <w:r w:rsidRPr="00A52515">
        <w:rPr>
          <w:rFonts w:ascii="Gill Sans MT" w:hAnsi="Gill Sans MT"/>
        </w:rPr>
        <w:t xml:space="preserve"> </w:t>
      </w:r>
      <w:r w:rsidRPr="00A52515">
        <w:rPr>
          <w:rFonts w:ascii="Gill Sans MT" w:hAnsi="Gill Sans MT"/>
          <w:i/>
          <w:iCs/>
        </w:rPr>
        <w:t>The Deep Symbolic Systems Model (DSSM) – A Cognitive–Ritual Framework for Early Monumentality and Cultural Continuity.</w:t>
      </w:r>
      <w:r w:rsidRPr="00A52515">
        <w:rPr>
          <w:rFonts w:ascii="Gill Sans MT" w:hAnsi="Gill Sans MT"/>
        </w:rPr>
        <w:t xml:space="preserve"> </w:t>
      </w:r>
      <w:hyperlink r:id="rId6" w:history="1">
        <w:r w:rsidRPr="00A52515">
          <w:rPr>
            <w:rStyle w:val="Hyperlink"/>
            <w:rFonts w:ascii="Gill Sans MT" w:hAnsi="Gill Sans MT"/>
          </w:rPr>
          <w:t>https://doi.org/10.17605/OSF.IO/MRZFU</w:t>
        </w:r>
      </w:hyperlink>
    </w:p>
    <w:p w:rsidR="00A52515" w:rsidRPr="00A52515" w:rsidRDefault="00A52515" w:rsidP="00A52515">
      <w:pPr>
        <w:pStyle w:val="p1"/>
        <w:numPr>
          <w:ilvl w:val="1"/>
          <w:numId w:val="17"/>
        </w:numPr>
        <w:rPr>
          <w:rStyle w:val="Hyperlink"/>
          <w:rFonts w:ascii="Gill Sans MT" w:hAnsi="Gill Sans MT"/>
        </w:rPr>
      </w:pPr>
      <w:r w:rsidRPr="00A52515">
        <w:rPr>
          <w:rStyle w:val="s1"/>
          <w:rFonts w:ascii="Gill Sans MT" w:hAnsi="Gill Sans MT"/>
          <w:b/>
          <w:bCs/>
        </w:rPr>
        <w:t>Vondoom, A. (2026, January 5).</w:t>
      </w:r>
      <w:r w:rsidRPr="00A52515">
        <w:rPr>
          <w:rFonts w:ascii="Gill Sans MT" w:hAnsi="Gill Sans MT"/>
        </w:rPr>
        <w:t xml:space="preserve"> </w:t>
      </w:r>
      <w:r w:rsidRPr="00A52515">
        <w:rPr>
          <w:rFonts w:ascii="Gill Sans MT" w:hAnsi="Gill Sans MT"/>
          <w:i/>
          <w:iCs/>
        </w:rPr>
        <w:t>Cognitive Preconditions for the Deep SymbolicSystems Model (DSSM).</w:t>
      </w:r>
      <w:r w:rsidRPr="00A52515">
        <w:rPr>
          <w:rFonts w:ascii="Gill Sans MT" w:hAnsi="Gill Sans MT"/>
        </w:rPr>
        <w:t xml:space="preserve"> </w:t>
      </w:r>
      <w:hyperlink r:id="rId7" w:history="1">
        <w:r w:rsidRPr="00A52515">
          <w:rPr>
            <w:rStyle w:val="Hyperlink"/>
            <w:rFonts w:ascii="Gill Sans MT" w:hAnsi="Gill Sans MT"/>
          </w:rPr>
          <w:t>https://doi.org/10.17605/OSF.IO/25AJW</w:t>
        </w:r>
      </w:hyperlink>
    </w:p>
    <w:p w:rsidR="00A52515" w:rsidRPr="00A52515" w:rsidRDefault="00A52515" w:rsidP="00A52515">
      <w:pPr>
        <w:pStyle w:val="ListParagraph"/>
        <w:numPr>
          <w:ilvl w:val="1"/>
          <w:numId w:val="17"/>
        </w:numPr>
        <w:spacing w:before="100" w:beforeAutospacing="1" w:after="100" w:afterAutospacing="1"/>
        <w:rPr>
          <w:rFonts w:ascii="Gill Sans MT" w:eastAsia="Times New Roman" w:hAnsi="Gill Sans MT" w:cs="Times New Roman"/>
          <w:b/>
          <w:bCs/>
          <w:i/>
          <w:iCs/>
          <w:lang w:eastAsia="en-GB"/>
        </w:rPr>
      </w:pPr>
      <w:proofErr w:type="spellStart"/>
      <w:r w:rsidRPr="00A52515">
        <w:rPr>
          <w:rFonts w:ascii="Gill Sans MT" w:eastAsia="Times New Roman" w:hAnsi="Gill Sans MT" w:cs="Times New Roman"/>
          <w:b/>
          <w:bCs/>
          <w:lang w:val="en-US" w:eastAsia="en-GB"/>
        </w:rPr>
        <w:t>Vondoom</w:t>
      </w:r>
      <w:proofErr w:type="spellEnd"/>
      <w:r w:rsidRPr="00A52515">
        <w:rPr>
          <w:rFonts w:ascii="Gill Sans MT" w:eastAsia="Times New Roman" w:hAnsi="Gill Sans MT" w:cs="Times New Roman"/>
          <w:b/>
          <w:bCs/>
          <w:lang w:val="en-US" w:eastAsia="en-GB"/>
        </w:rPr>
        <w:t xml:space="preserve">, A. (2026) </w:t>
      </w:r>
      <w:r w:rsidRPr="00A52515">
        <w:rPr>
          <w:rFonts w:ascii="Gill Sans MT" w:eastAsia="Times New Roman" w:hAnsi="Gill Sans MT" w:cs="Times New Roman"/>
          <w:i/>
          <w:iCs/>
          <w:lang w:eastAsia="en-GB"/>
        </w:rPr>
        <w:t>The Deep Symbolic Systems Model (DSSM</w:t>
      </w:r>
      <w:proofErr w:type="gramStart"/>
      <w:r w:rsidRPr="00A52515">
        <w:rPr>
          <w:rFonts w:ascii="Gill Sans MT" w:eastAsia="Times New Roman" w:hAnsi="Gill Sans MT" w:cs="Times New Roman"/>
          <w:i/>
          <w:iCs/>
          <w:lang w:eastAsia="en-GB"/>
        </w:rPr>
        <w:t>):A</w:t>
      </w:r>
      <w:proofErr w:type="gramEnd"/>
      <w:r w:rsidRPr="00A52515">
        <w:rPr>
          <w:rFonts w:ascii="Gill Sans MT" w:eastAsia="Times New Roman" w:hAnsi="Gill Sans MT" w:cs="Times New Roman"/>
          <w:i/>
          <w:iCs/>
          <w:lang w:eastAsia="en-GB"/>
        </w:rPr>
        <w:t xml:space="preserve"> Canonical Framework for Early Symbolic Stabilization Across Macro-Regions.</w:t>
      </w:r>
      <w:r w:rsidRPr="00A52515">
        <w:rPr>
          <w:rFonts w:ascii="Gill Sans MT" w:eastAsia="Times New Roman" w:hAnsi="Gill Sans MT" w:cs="Times New Roman"/>
          <w:b/>
          <w:bCs/>
          <w:i/>
          <w:iCs/>
          <w:lang w:eastAsia="en-GB"/>
        </w:rPr>
        <w:t xml:space="preserve"> </w:t>
      </w:r>
      <w:hyperlink r:id="rId8" w:history="1">
        <w:r w:rsidRPr="00A52515">
          <w:rPr>
            <w:rStyle w:val="Hyperlink"/>
            <w:rFonts w:ascii="Gill Sans MT" w:eastAsia="Times New Roman" w:hAnsi="Gill Sans MT" w:cs="Times New Roman"/>
            <w:lang w:eastAsia="en-GB"/>
          </w:rPr>
          <w:t>https://doi.org/10.6084/m9.figshare.31061698.v3</w:t>
        </w:r>
      </w:hyperlink>
    </w:p>
    <w:p w:rsidR="00A52515" w:rsidRPr="00A52515" w:rsidRDefault="00A52515" w:rsidP="003750F6">
      <w:pPr>
        <w:pStyle w:val="ListParagraph"/>
        <w:numPr>
          <w:ilvl w:val="1"/>
          <w:numId w:val="17"/>
        </w:numPr>
        <w:spacing w:before="100" w:beforeAutospacing="1" w:after="100" w:afterAutospacing="1"/>
        <w:outlineLvl w:val="0"/>
        <w:rPr>
          <w:rFonts w:ascii="Gill Sans MT" w:eastAsia="Times New Roman" w:hAnsi="Gill Sans MT" w:cs="Times New Roman"/>
          <w:i/>
          <w:iCs/>
          <w:kern w:val="36"/>
          <w:lang w:eastAsia="en-GB"/>
        </w:rPr>
      </w:pPr>
      <w:proofErr w:type="spellStart"/>
      <w:r w:rsidRPr="00A52515">
        <w:rPr>
          <w:rFonts w:ascii="Gill Sans MT" w:eastAsia="Times New Roman" w:hAnsi="Gill Sans MT" w:cs="Times New Roman"/>
          <w:b/>
          <w:bCs/>
          <w:kern w:val="36"/>
          <w:lang w:val="en-US" w:eastAsia="en-GB"/>
        </w:rPr>
        <w:t>Vondoom</w:t>
      </w:r>
      <w:proofErr w:type="spellEnd"/>
      <w:r w:rsidRPr="00A52515">
        <w:rPr>
          <w:rFonts w:ascii="Gill Sans MT" w:eastAsia="Times New Roman" w:hAnsi="Gill Sans MT" w:cs="Times New Roman"/>
          <w:b/>
          <w:bCs/>
          <w:kern w:val="36"/>
          <w:lang w:val="en-US" w:eastAsia="en-GB"/>
        </w:rPr>
        <w:t xml:space="preserve">, A. (2026) </w:t>
      </w:r>
      <w:r w:rsidRPr="00A52515">
        <w:rPr>
          <w:rFonts w:ascii="Gill Sans MT" w:eastAsia="Times New Roman" w:hAnsi="Gill Sans MT" w:cs="Times New Roman"/>
          <w:i/>
          <w:iCs/>
          <w:kern w:val="36"/>
          <w:lang w:eastAsia="en-GB"/>
        </w:rPr>
        <w:t>Neural Evolution and Symbolic Stabilization</w:t>
      </w:r>
      <w:r w:rsidRPr="00A52515">
        <w:rPr>
          <w:rFonts w:ascii="Gill Sans MT" w:eastAsia="Times New Roman" w:hAnsi="Gill Sans MT" w:cs="Times New Roman"/>
          <w:b/>
          <w:bCs/>
          <w:kern w:val="36"/>
          <w:lang w:val="en-US" w:eastAsia="en-GB"/>
        </w:rPr>
        <w:t xml:space="preserve">: </w:t>
      </w:r>
      <w:r w:rsidRPr="00A52515">
        <w:rPr>
          <w:rFonts w:ascii="Gill Sans MT" w:eastAsia="Times New Roman" w:hAnsi="Gill Sans MT" w:cs="Times New Roman"/>
          <w:i/>
          <w:iCs/>
          <w:kern w:val="36"/>
          <w:lang w:eastAsia="en-GB"/>
        </w:rPr>
        <w:t>A Neuro-Archaeological Foundation for the Deep Symbolic Systems Model (DSSM)</w:t>
      </w:r>
      <w:r w:rsidRPr="00A52515">
        <w:rPr>
          <w:rFonts w:ascii="Gill Sans MT" w:eastAsia="Times New Roman" w:hAnsi="Gill Sans MT" w:cs="Times New Roman"/>
          <w:i/>
          <w:iCs/>
          <w:kern w:val="36"/>
          <w:lang w:val="en-US" w:eastAsia="en-GB"/>
        </w:rPr>
        <w:t xml:space="preserve"> </w:t>
      </w:r>
      <w:hyperlink r:id="rId9" w:history="1">
        <w:r w:rsidRPr="00A52515">
          <w:rPr>
            <w:rStyle w:val="Hyperlink"/>
            <w:rFonts w:ascii="Gill Sans MT" w:eastAsia="Times New Roman" w:hAnsi="Gill Sans MT" w:cs="Times New Roman"/>
            <w:lang w:eastAsia="en-GB"/>
          </w:rPr>
          <w:t>https://doi.org/10.6084/m9.figshare.31077526</w:t>
        </w:r>
      </w:hyperlink>
    </w:p>
    <w:p w:rsidR="003750F6" w:rsidRPr="003750F6" w:rsidRDefault="00156023" w:rsidP="003750F6">
      <w:pPr>
        <w:rPr>
          <w:rFonts w:ascii="Gill Sans MT" w:eastAsia="Times New Roman" w:hAnsi="Gill Sans MT" w:cs="Times New Roman"/>
          <w:lang w:eastAsia="en-GB"/>
        </w:rPr>
      </w:pPr>
      <w:r>
        <w:rPr>
          <w:rFonts w:ascii="Gill Sans MT" w:eastAsia="Times New Roman" w:hAnsi="Gill Sans MT" w:cs="Times New Roman"/>
          <w:noProof/>
          <w:lang w:eastAsia="en-GB"/>
        </w:rPr>
        <w:lastRenderedPageBreak/>
        <w:pict>
          <v:rect id="_x0000_i1025" alt="" style="width:451.3pt;height:.05pt;mso-width-percent:0;mso-height-percent:0;mso-width-percent:0;mso-height-percent:0" o:hralign="center" o:hrstd="t" o:hr="t" fillcolor="#a0a0a0" stroked="f"/>
        </w:pict>
      </w: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t>Abstract</w:t>
      </w:r>
    </w:p>
    <w:p w:rsidR="003750F6" w:rsidRPr="003750F6" w:rsidRDefault="003750F6" w:rsidP="00426A7C">
      <w:pPr>
        <w:spacing w:before="100" w:beforeAutospacing="1" w:after="100" w:afterAutospacing="1"/>
        <w:ind w:firstLine="720"/>
        <w:rPr>
          <w:rFonts w:ascii="Gill Sans MT" w:eastAsia="Times New Roman" w:hAnsi="Gill Sans MT" w:cs="Times New Roman"/>
          <w:lang w:eastAsia="en-GB"/>
        </w:rPr>
      </w:pPr>
      <w:r w:rsidRPr="003750F6">
        <w:rPr>
          <w:rFonts w:ascii="Gill Sans MT" w:eastAsia="Times New Roman" w:hAnsi="Gill Sans MT" w:cs="Times New Roman"/>
          <w:lang w:eastAsia="en-GB"/>
        </w:rPr>
        <w:t>This paper extends the Deep Symbolic Systems Model (DSSM) beyond deep prehistory into post–Stone Age technological history, arguing that technological evolution from the Paleolithic through the Iron Age is best understood as a process of symbolic stabilization rather than episodic invention or regional genius. Departing from region-based archaeological narratives, this study adopts an invention-centered, process-oriented framework, demonstrating that civilization advances through disciplined reuse, material amplification, and institutional fixation of already-stable practices.</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Drawing on archaeological evidence from lithic traditions, early metallurgy, storage systems, writing technologies, transport infrastructure, and administrative artifacts, this paper advances the thesis that technologies are fossilized rituals: embodied, repetitive actions that become materially standardized, externally scaffolded, and intergenerationally conserved. Tools, writing systems, and governance structures do not emerge from sudden creativity but from the recursive compression of symbolic action into durable material forms.</w:t>
      </w:r>
    </w:p>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By tracing multiple technological lineages across deep time, this study reframes technological history as a continuous cognitive process, providing a unified explanation for the emergence of complex societies and the symbolic foundations of modern technological systems.</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I. Introduction: Why Inventions, Not Regions</w:t>
      </w:r>
    </w:p>
    <w:p w:rsidR="003750F6" w:rsidRPr="003750F6" w:rsidRDefault="003750F6" w:rsidP="00426A7C">
      <w:pPr>
        <w:spacing w:before="100" w:beforeAutospacing="1" w:after="100" w:afterAutospacing="1"/>
        <w:ind w:firstLine="720"/>
        <w:outlineLvl w:val="2"/>
        <w:rPr>
          <w:rFonts w:ascii="Gill Sans MT" w:eastAsia="Times New Roman" w:hAnsi="Gill Sans MT" w:cs="Times New Roman"/>
          <w:b/>
          <w:bCs/>
          <w:sz w:val="27"/>
          <w:szCs w:val="27"/>
          <w:lang w:eastAsia="en-GB"/>
        </w:rPr>
      </w:pPr>
      <w:r w:rsidRPr="003750F6">
        <w:rPr>
          <w:rFonts w:ascii="Gill Sans MT" w:eastAsia="Times New Roman" w:hAnsi="Gill Sans MT" w:cs="Times New Roman"/>
          <w:b/>
          <w:bCs/>
          <w:sz w:val="27"/>
          <w:szCs w:val="27"/>
          <w:lang w:eastAsia="en-GB"/>
        </w:rPr>
        <w:t>1.1 The Problem with Regional Narratives</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Archaeology has traditionally explained technological change by emphasizing where innovations occur—Mesopotamia, Egypt, the Indus, China—rather than how symbolic patterns stabilize and propagate. This regional framing becomes increasingly misleading after the emergence of:</w:t>
      </w:r>
    </w:p>
    <w:p w:rsidR="003750F6" w:rsidRPr="003750F6" w:rsidRDefault="003750F6" w:rsidP="003750F6">
      <w:pPr>
        <w:numPr>
          <w:ilvl w:val="0"/>
          <w:numId w:val="12"/>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Sustained human mobility</w:t>
      </w:r>
    </w:p>
    <w:p w:rsidR="003750F6" w:rsidRPr="003750F6" w:rsidRDefault="003750F6" w:rsidP="003750F6">
      <w:pPr>
        <w:numPr>
          <w:ilvl w:val="0"/>
          <w:numId w:val="12"/>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Long-distance exchange networks</w:t>
      </w:r>
    </w:p>
    <w:p w:rsidR="003750F6" w:rsidRPr="003750F6" w:rsidRDefault="003750F6" w:rsidP="003750F6">
      <w:pPr>
        <w:numPr>
          <w:ilvl w:val="0"/>
          <w:numId w:val="12"/>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Cultural borrowing and hybridization</w:t>
      </w:r>
    </w:p>
    <w:p w:rsidR="003750F6" w:rsidRPr="003750F6" w:rsidRDefault="003750F6" w:rsidP="003750F6">
      <w:pPr>
        <w:numPr>
          <w:ilvl w:val="0"/>
          <w:numId w:val="12"/>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Shared cognitive constraints across populations</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Once symbolic systems are stabilized, geography explains distribution, not origin.</w:t>
      </w:r>
    </w:p>
    <w:p w:rsidR="003750F6" w:rsidRPr="003750F6" w:rsidRDefault="003750F6" w:rsidP="003750F6">
      <w:pPr>
        <w:spacing w:before="100" w:beforeAutospacing="1" w:after="100" w:afterAutospacing="1"/>
        <w:outlineLvl w:val="2"/>
        <w:rPr>
          <w:rFonts w:ascii="Gill Sans MT" w:eastAsia="Times New Roman" w:hAnsi="Gill Sans MT" w:cs="Times New Roman"/>
          <w:b/>
          <w:bCs/>
          <w:sz w:val="27"/>
          <w:szCs w:val="27"/>
          <w:lang w:eastAsia="en-GB"/>
        </w:rPr>
      </w:pPr>
      <w:r w:rsidRPr="003750F6">
        <w:rPr>
          <w:rFonts w:ascii="Gill Sans MT" w:eastAsia="Times New Roman" w:hAnsi="Gill Sans MT" w:cs="Times New Roman"/>
          <w:b/>
          <w:bCs/>
          <w:sz w:val="27"/>
          <w:szCs w:val="27"/>
          <w:lang w:eastAsia="en-GB"/>
        </w:rPr>
        <w:t>1.2 DSSM as a Process-Based Framework</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The DSSM tracks:</w:t>
      </w:r>
    </w:p>
    <w:p w:rsidR="003750F6" w:rsidRPr="003750F6" w:rsidRDefault="003750F6" w:rsidP="003750F6">
      <w:pPr>
        <w:numPr>
          <w:ilvl w:val="0"/>
          <w:numId w:val="13"/>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Repetition of embodied practices</w:t>
      </w:r>
    </w:p>
    <w:p w:rsidR="003750F6" w:rsidRPr="003750F6" w:rsidRDefault="003750F6" w:rsidP="003750F6">
      <w:pPr>
        <w:numPr>
          <w:ilvl w:val="0"/>
          <w:numId w:val="13"/>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Material externalization</w:t>
      </w:r>
    </w:p>
    <w:p w:rsidR="003750F6" w:rsidRPr="003750F6" w:rsidRDefault="003750F6" w:rsidP="003750F6">
      <w:pPr>
        <w:numPr>
          <w:ilvl w:val="0"/>
          <w:numId w:val="13"/>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Cognitive offloading</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Technologies spread not because regions are exceptional, but because human cognition is conserved and responds predictably to stabilized patterns.</w:t>
      </w:r>
    </w:p>
    <w:p w:rsidR="003750F6" w:rsidRPr="003750F6" w:rsidRDefault="003750F6" w:rsidP="003750F6">
      <w:pPr>
        <w:spacing w:before="100" w:beforeAutospacing="1" w:after="100" w:afterAutospacing="1"/>
        <w:outlineLvl w:val="2"/>
        <w:rPr>
          <w:rFonts w:ascii="Gill Sans MT" w:eastAsia="Times New Roman" w:hAnsi="Gill Sans MT" w:cs="Times New Roman"/>
          <w:b/>
          <w:bCs/>
          <w:sz w:val="27"/>
          <w:szCs w:val="27"/>
          <w:lang w:eastAsia="en-GB"/>
        </w:rPr>
      </w:pPr>
      <w:r w:rsidRPr="003750F6">
        <w:rPr>
          <w:rFonts w:ascii="Gill Sans MT" w:eastAsia="Times New Roman" w:hAnsi="Gill Sans MT" w:cs="Times New Roman"/>
          <w:b/>
          <w:bCs/>
          <w:sz w:val="27"/>
          <w:szCs w:val="27"/>
          <w:lang w:eastAsia="en-GB"/>
        </w:rPr>
        <w:t>1.3 Central Thesis</w:t>
      </w:r>
    </w:p>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Civilization advances not through sudden genius, but through disciplined reuse of stabilized practices, progressively externalized into material, institutional, and administrative systems.</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II. DSSM Core Principles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3"/>
        <w:gridCol w:w="5903"/>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DSSM Principle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Archaeological Meaning</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Embodied Symbolic Familiarity</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Technologies emerge from repeated bodily practices, not abstract design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Ritualized Repetition and Stabilization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Repetition produces expectation, which constrains form</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Material Amplification and Compression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New materials intensify durability and energy density, not conceptual novelty</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Cognitive Offloading and Externalization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Memory, coordination, and authority migrate from brains to objects and institutions</w:t>
            </w:r>
          </w:p>
        </w:tc>
      </w:tr>
    </w:tbl>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These principles are empirically visible across technological lineages.</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III. Cutting, Piercing, and Directed Force</w:t>
      </w:r>
    </w:p>
    <w:p w:rsidR="003750F6" w:rsidRPr="003750F6" w:rsidRDefault="003750F6" w:rsidP="003750F6">
      <w:pPr>
        <w:spacing w:before="100" w:beforeAutospacing="1" w:after="100" w:afterAutospacing="1"/>
        <w:rPr>
          <w:rFonts w:ascii="Gill Sans MT" w:eastAsia="Times New Roman" w:hAnsi="Gill Sans MT" w:cs="Times New Roman"/>
          <w:i/>
          <w:iCs/>
          <w:lang w:eastAsia="en-GB"/>
        </w:rPr>
      </w:pPr>
      <w:r w:rsidRPr="003750F6">
        <w:rPr>
          <w:rFonts w:ascii="Gill Sans MT" w:eastAsia="Times New Roman" w:hAnsi="Gill Sans MT" w:cs="Times New Roman"/>
          <w:b/>
          <w:bCs/>
          <w:i/>
          <w:iCs/>
          <w:lang w:eastAsia="en-GB"/>
        </w:rPr>
        <w:t xml:space="preserve">Stone </w:t>
      </w:r>
      <w:r w:rsidRPr="003750F6">
        <w:rPr>
          <w:rFonts w:ascii="Arial" w:eastAsia="Times New Roman" w:hAnsi="Arial" w:cs="Arial"/>
          <w:b/>
          <w:bCs/>
          <w:i/>
          <w:iCs/>
          <w:lang w:eastAsia="en-GB"/>
        </w:rPr>
        <w:t>→</w:t>
      </w:r>
      <w:r w:rsidRPr="003750F6">
        <w:rPr>
          <w:rFonts w:ascii="Gill Sans MT" w:eastAsia="Times New Roman" w:hAnsi="Gill Sans MT" w:cs="Times New Roman"/>
          <w:b/>
          <w:bCs/>
          <w:i/>
          <w:iCs/>
          <w:lang w:eastAsia="en-GB"/>
        </w:rPr>
        <w:t xml:space="preserve"> Metal </w:t>
      </w:r>
      <w:r w:rsidRPr="003750F6">
        <w:rPr>
          <w:rFonts w:ascii="Arial" w:eastAsia="Times New Roman" w:hAnsi="Arial" w:cs="Arial"/>
          <w:b/>
          <w:bCs/>
          <w:i/>
          <w:iCs/>
          <w:lang w:eastAsia="en-GB"/>
        </w:rPr>
        <w:t>→</w:t>
      </w:r>
      <w:r w:rsidRPr="003750F6">
        <w:rPr>
          <w:rFonts w:ascii="Gill Sans MT" w:eastAsia="Times New Roman" w:hAnsi="Gill Sans MT" w:cs="Times New Roman"/>
          <w:b/>
          <w:bCs/>
          <w:i/>
          <w:iCs/>
          <w:lang w:eastAsia="en-GB"/>
        </w:rPr>
        <w:t xml:space="preserve"> Systems of Control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3"/>
        <w:gridCol w:w="2953"/>
        <w:gridCol w:w="2858"/>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Period</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Evidence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Implication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Lower Paleolithic</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Oldowan flakes (~2.6 Ma)</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Directional force control</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Acheulean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Hand axes (1.7 Ma–300 ka)</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Standardized edge geometry</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Middle Paleolithic</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Hafted tools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Composite cognition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Chalcolithic–Bronze Age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Copper/bronze blades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Material amplification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Iron Age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Mass-produced iron weapons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Institutionalized authority</w:t>
            </w:r>
          </w:p>
        </w:tc>
      </w:tr>
    </w:tbl>
    <w:p w:rsidR="003750F6" w:rsidRPr="00291D9D" w:rsidRDefault="003750F6" w:rsidP="003750F6">
      <w:pPr>
        <w:pStyle w:val="p1"/>
        <w:rPr>
          <w:rFonts w:ascii="Gill Sans MT" w:hAnsi="Gill Sans MT"/>
        </w:rPr>
      </w:pPr>
      <w:r w:rsidRPr="00291D9D">
        <w:rPr>
          <w:rFonts w:ascii="Gill Sans MT" w:hAnsi="Gill Sans MT"/>
          <w:b/>
          <w:bCs/>
        </w:rPr>
        <w:t>What Actually Evolves:</w:t>
      </w:r>
    </w:p>
    <w:p w:rsidR="003750F6" w:rsidRPr="00291D9D" w:rsidRDefault="003750F6" w:rsidP="003750F6">
      <w:pPr>
        <w:pStyle w:val="p2"/>
        <w:rPr>
          <w:rFonts w:ascii="Gill Sans MT" w:hAnsi="Gill Sans MT"/>
        </w:rPr>
      </w:pPr>
      <w:r w:rsidRPr="00291D9D">
        <w:rPr>
          <w:rFonts w:ascii="Gill Sans MT" w:hAnsi="Gill Sans MT"/>
        </w:rPr>
        <w:t>Not weapons, but controlled directional force. The edge precedes metal by over a million years. Metallurgy amplifies and stabilizes force.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3767"/>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Form</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Function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Edge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Mastery over matter</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Weapon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Legitimated authority</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Sword</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Status symbol before battlefield utility</w:t>
            </w:r>
          </w:p>
        </w:tc>
      </w:tr>
    </w:tbl>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b/>
          <w:bCs/>
          <w:lang w:eastAsia="en-GB"/>
        </w:rPr>
        <w:t>Key Insight:</w:t>
      </w:r>
    </w:p>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Iron did not change war. Standardized war reshaped cognition toward hierarchy, abstraction, and centralized control.</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IV. Containers, Surfaces, and the Storage of Meaning</w:t>
      </w:r>
    </w:p>
    <w:p w:rsidR="003750F6" w:rsidRPr="003750F6" w:rsidRDefault="003750F6" w:rsidP="003750F6">
      <w:pPr>
        <w:spacing w:before="100" w:beforeAutospacing="1" w:after="100" w:afterAutospacing="1"/>
        <w:rPr>
          <w:rFonts w:ascii="Gill Sans MT" w:eastAsia="Times New Roman" w:hAnsi="Gill Sans MT" w:cs="Times New Roman"/>
          <w:i/>
          <w:iCs/>
          <w:lang w:eastAsia="en-GB"/>
        </w:rPr>
      </w:pPr>
      <w:r w:rsidRPr="003750F6">
        <w:rPr>
          <w:rFonts w:ascii="Gill Sans MT" w:eastAsia="Times New Roman" w:hAnsi="Gill Sans MT" w:cs="Times New Roman"/>
          <w:b/>
          <w:bCs/>
          <w:i/>
          <w:iCs/>
          <w:lang w:eastAsia="en-GB"/>
        </w:rPr>
        <w:t xml:space="preserve">Basket </w:t>
      </w:r>
      <w:r w:rsidRPr="003750F6">
        <w:rPr>
          <w:rFonts w:ascii="Arial" w:eastAsia="Times New Roman" w:hAnsi="Arial" w:cs="Arial"/>
          <w:b/>
          <w:bCs/>
          <w:i/>
          <w:iCs/>
          <w:lang w:eastAsia="en-GB"/>
        </w:rPr>
        <w:t>→</w:t>
      </w:r>
      <w:r w:rsidRPr="003750F6">
        <w:rPr>
          <w:rFonts w:ascii="Gill Sans MT" w:eastAsia="Times New Roman" w:hAnsi="Gill Sans MT" w:cs="Times New Roman"/>
          <w:b/>
          <w:bCs/>
          <w:i/>
          <w:iCs/>
          <w:lang w:eastAsia="en-GB"/>
        </w:rPr>
        <w:t xml:space="preserve"> Pottery </w:t>
      </w:r>
      <w:r w:rsidRPr="003750F6">
        <w:rPr>
          <w:rFonts w:ascii="Arial" w:eastAsia="Times New Roman" w:hAnsi="Arial" w:cs="Arial"/>
          <w:b/>
          <w:bCs/>
          <w:i/>
          <w:iCs/>
          <w:lang w:eastAsia="en-GB"/>
        </w:rPr>
        <w:t>→</w:t>
      </w:r>
      <w:r w:rsidRPr="003750F6">
        <w:rPr>
          <w:rFonts w:ascii="Gill Sans MT" w:eastAsia="Times New Roman" w:hAnsi="Gill Sans MT" w:cs="Times New Roman"/>
          <w:b/>
          <w:bCs/>
          <w:i/>
          <w:iCs/>
          <w:lang w:eastAsia="en-GB"/>
        </w:rPr>
        <w:t xml:space="preserve"> Architecture </w:t>
      </w:r>
      <w:r w:rsidRPr="003750F6">
        <w:rPr>
          <w:rFonts w:ascii="Arial" w:eastAsia="Times New Roman" w:hAnsi="Arial" w:cs="Arial"/>
          <w:b/>
          <w:bCs/>
          <w:i/>
          <w:iCs/>
          <w:lang w:eastAsia="en-GB"/>
        </w:rPr>
        <w:t>→</w:t>
      </w:r>
      <w:r w:rsidRPr="003750F6">
        <w:rPr>
          <w:rFonts w:ascii="Gill Sans MT" w:eastAsia="Times New Roman" w:hAnsi="Gill Sans MT" w:cs="Times New Roman"/>
          <w:b/>
          <w:bCs/>
          <w:i/>
          <w:iCs/>
          <w:lang w:eastAsia="en-GB"/>
        </w:rPr>
        <w:t xml:space="preserve"> Archive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2"/>
        <w:gridCol w:w="3348"/>
        <w:gridCol w:w="3476"/>
      </w:tblGrid>
      <w:tr w:rsidR="003750F6" w:rsidRPr="003750F6" w:rsidTr="00426A7C">
        <w:trPr>
          <w:tblHeader/>
          <w:tblCellSpacing w:w="15" w:type="dxa"/>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Stage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Evidence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Function</w:t>
            </w:r>
          </w:p>
        </w:tc>
      </w:tr>
      <w:tr w:rsidR="003750F6" w:rsidRPr="003750F6" w:rsidTr="00426A7C">
        <w:trPr>
          <w:tblCellSpacing w:w="15" w:type="dxa"/>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Perishable containers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Baskets, gourds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Deferred consumption</w:t>
            </w:r>
          </w:p>
        </w:tc>
      </w:tr>
      <w:tr w:rsidR="003750F6" w:rsidRPr="003750F6" w:rsidTr="00426A7C">
        <w:trPr>
          <w:tblCellSpacing w:w="15" w:type="dxa"/>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Pottery</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J</w:t>
            </w:r>
            <w:r w:rsidRPr="003750F6">
              <w:rPr>
                <w:rFonts w:ascii="Calibri" w:eastAsia="Times New Roman" w:hAnsi="Calibri" w:cs="Calibri"/>
                <w:lang w:eastAsia="en-GB"/>
              </w:rPr>
              <w:t>ō</w:t>
            </w:r>
            <w:r w:rsidRPr="003750F6">
              <w:rPr>
                <w:rFonts w:ascii="Gill Sans MT" w:eastAsia="Times New Roman" w:hAnsi="Gill Sans MT" w:cs="Times New Roman"/>
                <w:lang w:eastAsia="en-GB"/>
              </w:rPr>
              <w:t>mon Japan (~14,000 BCE), Near East</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Storage and surplus management</w:t>
            </w:r>
          </w:p>
        </w:tc>
      </w:tr>
      <w:tr w:rsidR="003750F6" w:rsidRPr="003750F6" w:rsidTr="00426A7C">
        <w:trPr>
          <w:tblCellSpacing w:w="15" w:type="dxa"/>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Storage architecture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Granaries, silos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Future-oriented planning</w:t>
            </w:r>
          </w:p>
        </w:tc>
      </w:tr>
      <w:tr w:rsidR="003750F6" w:rsidRPr="003750F6" w:rsidTr="00426A7C">
        <w:trPr>
          <w:tblCellSpacing w:w="15" w:type="dxa"/>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Administrative artifacts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Seals, tokens, tablets (Uruk)</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Temporal authority and record-keeping</w:t>
            </w:r>
          </w:p>
        </w:tc>
      </w:tr>
    </w:tbl>
    <w:p w:rsidR="003750F6" w:rsidRPr="00291D9D" w:rsidRDefault="003750F6" w:rsidP="003750F6">
      <w:pPr>
        <w:pStyle w:val="p1"/>
        <w:rPr>
          <w:rFonts w:ascii="Gill Sans MT" w:hAnsi="Gill Sans MT"/>
        </w:rPr>
      </w:pPr>
      <w:r w:rsidRPr="00291D9D">
        <w:rPr>
          <w:rFonts w:ascii="Gill Sans MT" w:hAnsi="Gill Sans MT"/>
          <w:b/>
          <w:bCs/>
        </w:rPr>
        <w:t>Key Insight:</w:t>
      </w:r>
    </w:p>
    <w:p w:rsidR="003750F6" w:rsidRDefault="003750F6" w:rsidP="003750F6">
      <w:pPr>
        <w:pStyle w:val="p2"/>
        <w:rPr>
          <w:rFonts w:ascii="Gill Sans MT" w:hAnsi="Gill Sans MT"/>
        </w:rPr>
      </w:pPr>
      <w:r w:rsidRPr="00291D9D">
        <w:rPr>
          <w:rFonts w:ascii="Gill Sans MT" w:hAnsi="Gill Sans MT"/>
        </w:rPr>
        <w:t>Writing originates as accounting and control, not expression. External memory systems stabilize cognition under surplus pressure.</w:t>
      </w: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Pr="00291D9D" w:rsidRDefault="00426A7C" w:rsidP="003750F6">
      <w:pPr>
        <w:pStyle w:val="p2"/>
        <w:rPr>
          <w:rFonts w:ascii="Gill Sans MT" w:hAnsi="Gill Sans MT"/>
        </w:rPr>
      </w:pPr>
    </w:p>
    <w:p w:rsidR="003750F6" w:rsidRPr="00291D9D" w:rsidRDefault="003750F6" w:rsidP="003750F6">
      <w:pPr>
        <w:pStyle w:val="p2"/>
        <w:rPr>
          <w:rFonts w:ascii="Gill Sans MT" w:hAnsi="Gill Sans MT"/>
        </w:rPr>
      </w:pPr>
    </w:p>
    <w:p w:rsidR="003750F6" w:rsidRPr="00291D9D" w:rsidRDefault="003750F6" w:rsidP="003750F6">
      <w:pPr>
        <w:pStyle w:val="Heading2"/>
        <w:rPr>
          <w:rFonts w:ascii="Gill Sans MT" w:hAnsi="Gill Sans MT"/>
        </w:rPr>
      </w:pPr>
      <w:r w:rsidRPr="00291D9D">
        <w:rPr>
          <w:rFonts w:ascii="Gill Sans MT" w:hAnsi="Gill Sans MT"/>
        </w:rPr>
        <w:lastRenderedPageBreak/>
        <w:t>V. Locomotion and Load-Bearing Systems</w:t>
      </w:r>
    </w:p>
    <w:p w:rsidR="003750F6" w:rsidRPr="00426A7C" w:rsidRDefault="003750F6" w:rsidP="003750F6">
      <w:pPr>
        <w:pStyle w:val="p3"/>
        <w:rPr>
          <w:rFonts w:ascii="Gill Sans MT" w:hAnsi="Gill Sans MT"/>
          <w:i/>
          <w:iCs/>
        </w:rPr>
      </w:pPr>
      <w:r w:rsidRPr="00426A7C">
        <w:rPr>
          <w:rFonts w:ascii="Gill Sans MT" w:hAnsi="Gill Sans MT"/>
          <w:b/>
          <w:bCs/>
          <w:i/>
          <w:iCs/>
        </w:rPr>
        <w:t xml:space="preserve">Log </w:t>
      </w:r>
      <w:r w:rsidRPr="00426A7C">
        <w:rPr>
          <w:rFonts w:ascii="Arial" w:hAnsi="Arial" w:cs="Arial"/>
          <w:b/>
          <w:bCs/>
          <w:i/>
          <w:iCs/>
        </w:rPr>
        <w:t>→</w:t>
      </w:r>
      <w:r w:rsidRPr="00426A7C">
        <w:rPr>
          <w:rFonts w:ascii="Gill Sans MT" w:hAnsi="Gill Sans MT"/>
          <w:b/>
          <w:bCs/>
          <w:i/>
          <w:iCs/>
        </w:rPr>
        <w:t xml:space="preserve"> Wheel </w:t>
      </w:r>
      <w:r w:rsidRPr="00426A7C">
        <w:rPr>
          <w:rFonts w:ascii="Arial" w:hAnsi="Arial" w:cs="Arial"/>
          <w:b/>
          <w:bCs/>
          <w:i/>
          <w:iCs/>
        </w:rPr>
        <w:t>→</w:t>
      </w:r>
      <w:r w:rsidRPr="00426A7C">
        <w:rPr>
          <w:rFonts w:ascii="Gill Sans MT" w:hAnsi="Gill Sans MT"/>
          <w:b/>
          <w:bCs/>
          <w:i/>
          <w:iCs/>
        </w:rPr>
        <w:t xml:space="preserve"> Road </w:t>
      </w:r>
      <w:r w:rsidRPr="00426A7C">
        <w:rPr>
          <w:rFonts w:ascii="Arial" w:hAnsi="Arial" w:cs="Arial"/>
          <w:b/>
          <w:bCs/>
          <w:i/>
          <w:iCs/>
        </w:rPr>
        <w:t>→</w:t>
      </w:r>
      <w:r w:rsidRPr="00426A7C">
        <w:rPr>
          <w:rFonts w:ascii="Gill Sans MT" w:hAnsi="Gill Sans MT"/>
          <w:b/>
          <w:bCs/>
          <w:i/>
          <w:iCs/>
        </w:rPr>
        <w:t xml:space="preserve"> State Space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3"/>
        <w:gridCol w:w="2274"/>
        <w:gridCol w:w="4002"/>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Technology</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Date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Implication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Rollers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Neolithic</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Early mechanical abstraction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Wheel–axle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~3500 BCE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Predictable transport</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Chariots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Sintashta (~2000 BCE)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Coordinated mobilization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Roads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Mesopotamia, Rome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Resource redistribution and governance</w:t>
            </w:r>
          </w:p>
        </w:tc>
      </w:tr>
    </w:tbl>
    <w:p w:rsidR="003750F6" w:rsidRPr="00291D9D" w:rsidRDefault="003750F6" w:rsidP="003750F6">
      <w:pPr>
        <w:pStyle w:val="p1"/>
        <w:rPr>
          <w:rFonts w:ascii="Gill Sans MT" w:hAnsi="Gill Sans MT"/>
        </w:rPr>
      </w:pPr>
      <w:r w:rsidRPr="00291D9D">
        <w:rPr>
          <w:rFonts w:ascii="Gill Sans MT" w:hAnsi="Gill Sans MT"/>
          <w:b/>
          <w:bCs/>
        </w:rPr>
        <w:t>Key Insight:</w:t>
      </w:r>
    </w:p>
    <w:p w:rsidR="003750F6" w:rsidRDefault="003750F6" w:rsidP="003750F6">
      <w:pPr>
        <w:pStyle w:val="p2"/>
        <w:rPr>
          <w:rFonts w:ascii="Gill Sans MT" w:hAnsi="Gill Sans MT"/>
        </w:rPr>
      </w:pPr>
      <w:r w:rsidRPr="00291D9D">
        <w:rPr>
          <w:rFonts w:ascii="Gill Sans MT" w:hAnsi="Gill Sans MT"/>
        </w:rPr>
        <w:t>Mechanical abstraction restructures power. Societies with standardized infrastructure achieve more efficient coordination, consistent with DSSM’s prediction of cognitive offloading.</w:t>
      </w: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Pr="00291D9D" w:rsidRDefault="00426A7C" w:rsidP="003750F6">
      <w:pPr>
        <w:pStyle w:val="p2"/>
        <w:rPr>
          <w:rFonts w:ascii="Gill Sans MT" w:hAnsi="Gill Sans MT"/>
        </w:rPr>
      </w:pPr>
    </w:p>
    <w:p w:rsidR="003750F6" w:rsidRPr="00291D9D" w:rsidRDefault="003750F6" w:rsidP="003750F6">
      <w:pPr>
        <w:pStyle w:val="p2"/>
        <w:rPr>
          <w:rFonts w:ascii="Gill Sans MT" w:hAnsi="Gill Sans MT"/>
        </w:rPr>
      </w:pPr>
    </w:p>
    <w:p w:rsidR="003750F6" w:rsidRPr="00291D9D" w:rsidRDefault="003750F6" w:rsidP="003750F6">
      <w:pPr>
        <w:pStyle w:val="Heading2"/>
        <w:rPr>
          <w:rFonts w:ascii="Gill Sans MT" w:hAnsi="Gill Sans MT"/>
        </w:rPr>
      </w:pPr>
      <w:r w:rsidRPr="00291D9D">
        <w:rPr>
          <w:rFonts w:ascii="Gill Sans MT" w:hAnsi="Gill Sans MT"/>
        </w:rPr>
        <w:lastRenderedPageBreak/>
        <w:t>VI. Mark-Making and Symbol Stabilization</w:t>
      </w:r>
    </w:p>
    <w:p w:rsidR="003750F6" w:rsidRPr="00291D9D" w:rsidRDefault="003750F6" w:rsidP="003750F6">
      <w:pPr>
        <w:pStyle w:val="p3"/>
        <w:rPr>
          <w:rFonts w:ascii="Gill Sans MT" w:hAnsi="Gill Sans MT"/>
        </w:rPr>
      </w:pPr>
      <w:r w:rsidRPr="00291D9D">
        <w:rPr>
          <w:rFonts w:ascii="Gill Sans MT" w:hAnsi="Gill Sans MT"/>
          <w:b/>
          <w:bCs/>
        </w:rPr>
        <w:t xml:space="preserve">Image </w:t>
      </w:r>
      <w:r w:rsidRPr="00291D9D">
        <w:rPr>
          <w:rFonts w:ascii="Arial" w:hAnsi="Arial" w:cs="Arial"/>
          <w:b/>
          <w:bCs/>
        </w:rPr>
        <w:t>→</w:t>
      </w:r>
      <w:r w:rsidRPr="00291D9D">
        <w:rPr>
          <w:rFonts w:ascii="Gill Sans MT" w:hAnsi="Gill Sans MT"/>
          <w:b/>
          <w:bCs/>
        </w:rPr>
        <w:t xml:space="preserve"> Sign </w:t>
      </w:r>
      <w:r w:rsidRPr="00291D9D">
        <w:rPr>
          <w:rFonts w:ascii="Arial" w:hAnsi="Arial" w:cs="Arial"/>
          <w:b/>
          <w:bCs/>
        </w:rPr>
        <w:t>→</w:t>
      </w:r>
      <w:r w:rsidRPr="00291D9D">
        <w:rPr>
          <w:rFonts w:ascii="Gill Sans MT" w:hAnsi="Gill Sans MT"/>
          <w:b/>
          <w:bCs/>
        </w:rPr>
        <w:t xml:space="preserve"> Rule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7"/>
        <w:gridCol w:w="2478"/>
        <w:gridCol w:w="2097"/>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Stage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Evidence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Cognitive Shift</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Figurative art</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Upper Paleolithic caves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Representation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Abstract marks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Blombos engravings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Loss of ambiguity</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Tokens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Near Eastern accounting</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Standardization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Writing</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Cuneiform, hieroglyphs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Enforceable meaning</w:t>
            </w:r>
          </w:p>
        </w:tc>
      </w:tr>
    </w:tbl>
    <w:p w:rsidR="003750F6" w:rsidRPr="00291D9D" w:rsidRDefault="003750F6" w:rsidP="003750F6">
      <w:pPr>
        <w:pStyle w:val="p1"/>
        <w:rPr>
          <w:rFonts w:ascii="Gill Sans MT" w:hAnsi="Gill Sans MT"/>
        </w:rPr>
      </w:pPr>
      <w:r w:rsidRPr="00291D9D">
        <w:rPr>
          <w:rFonts w:ascii="Gill Sans MT" w:hAnsi="Gill Sans MT"/>
          <w:b/>
          <w:bCs/>
        </w:rPr>
        <w:t>Key Insight:</w:t>
      </w:r>
    </w:p>
    <w:p w:rsidR="003750F6" w:rsidRPr="00291D9D" w:rsidRDefault="003750F6" w:rsidP="003750F6">
      <w:pPr>
        <w:pStyle w:val="p2"/>
        <w:rPr>
          <w:rFonts w:ascii="Gill Sans MT" w:hAnsi="Gill Sans MT"/>
        </w:rPr>
      </w:pPr>
      <w:r w:rsidRPr="00291D9D">
        <w:rPr>
          <w:rFonts w:ascii="Gill Sans MT" w:hAnsi="Gill Sans MT"/>
        </w:rPr>
        <w:t>Writing is frozen ritual—repetition without performers. Symbolic compression and functional abstraction drive this stabilization.</w:t>
      </w:r>
    </w:p>
    <w:p w:rsidR="003750F6" w:rsidRDefault="003750F6"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Default="00426A7C" w:rsidP="003750F6">
      <w:pPr>
        <w:pStyle w:val="p2"/>
        <w:rPr>
          <w:rFonts w:ascii="Gill Sans MT" w:hAnsi="Gill Sans MT"/>
        </w:rPr>
      </w:pPr>
    </w:p>
    <w:p w:rsidR="00426A7C" w:rsidRPr="00291D9D" w:rsidRDefault="00426A7C" w:rsidP="003750F6">
      <w:pPr>
        <w:pStyle w:val="p2"/>
        <w:rPr>
          <w:rFonts w:ascii="Gill Sans MT" w:hAnsi="Gill Sans MT"/>
        </w:rPr>
      </w:pPr>
    </w:p>
    <w:p w:rsidR="003750F6" w:rsidRPr="00291D9D" w:rsidRDefault="003750F6" w:rsidP="003750F6">
      <w:pPr>
        <w:pStyle w:val="p2"/>
        <w:rPr>
          <w:rFonts w:ascii="Gill Sans MT" w:hAnsi="Gill Sans MT"/>
        </w:rPr>
      </w:pPr>
    </w:p>
    <w:p w:rsidR="003750F6" w:rsidRPr="00291D9D" w:rsidRDefault="003750F6" w:rsidP="003750F6">
      <w:pPr>
        <w:pStyle w:val="Heading2"/>
        <w:rPr>
          <w:rFonts w:ascii="Gill Sans MT" w:hAnsi="Gill Sans MT"/>
        </w:rPr>
      </w:pPr>
      <w:r w:rsidRPr="00291D9D">
        <w:rPr>
          <w:rFonts w:ascii="Gill Sans MT" w:hAnsi="Gill Sans MT"/>
        </w:rPr>
        <w:lastRenderedPageBreak/>
        <w:t>VII. Fire Control and Energy Discipline</w:t>
      </w:r>
    </w:p>
    <w:p w:rsidR="003750F6" w:rsidRPr="00426A7C" w:rsidRDefault="003750F6" w:rsidP="003750F6">
      <w:pPr>
        <w:pStyle w:val="p3"/>
        <w:rPr>
          <w:rFonts w:ascii="Gill Sans MT" w:hAnsi="Gill Sans MT"/>
          <w:i/>
          <w:iCs/>
        </w:rPr>
      </w:pPr>
      <w:r w:rsidRPr="00426A7C">
        <w:rPr>
          <w:rFonts w:ascii="Gill Sans MT" w:hAnsi="Gill Sans MT"/>
          <w:b/>
          <w:bCs/>
          <w:i/>
          <w:iCs/>
        </w:rPr>
        <w:t xml:space="preserve">Hearth </w:t>
      </w:r>
      <w:r w:rsidRPr="00426A7C">
        <w:rPr>
          <w:rFonts w:ascii="Arial" w:hAnsi="Arial" w:cs="Arial"/>
          <w:b/>
          <w:bCs/>
          <w:i/>
          <w:iCs/>
        </w:rPr>
        <w:t>→</w:t>
      </w:r>
      <w:r w:rsidRPr="00426A7C">
        <w:rPr>
          <w:rFonts w:ascii="Gill Sans MT" w:hAnsi="Gill Sans MT"/>
          <w:b/>
          <w:bCs/>
          <w:i/>
          <w:iCs/>
        </w:rPr>
        <w:t xml:space="preserve"> Kiln </w:t>
      </w:r>
      <w:r w:rsidRPr="00426A7C">
        <w:rPr>
          <w:rFonts w:ascii="Arial" w:hAnsi="Arial" w:cs="Arial"/>
          <w:b/>
          <w:bCs/>
          <w:i/>
          <w:iCs/>
        </w:rPr>
        <w:t>→</w:t>
      </w:r>
      <w:r w:rsidRPr="00426A7C">
        <w:rPr>
          <w:rFonts w:ascii="Gill Sans MT" w:hAnsi="Gill Sans MT"/>
          <w:b/>
          <w:bCs/>
          <w:i/>
          <w:iCs/>
        </w:rPr>
        <w:t xml:space="preserve"> Furnace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3"/>
        <w:gridCol w:w="1856"/>
        <w:gridCol w:w="5757"/>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Technology</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Cognitive Demand</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Cross-Cultural / Experimental Evidence</w:t>
            </w:r>
          </w:p>
        </w:tc>
      </w:tr>
      <w:tr w:rsidR="003750F6" w:rsidRPr="003750F6" w:rsidTr="00426A7C">
        <w:trPr>
          <w:tblCellSpacing w:w="15" w:type="dxa"/>
          <w:jc w:val="center"/>
        </w:trPr>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Hearth</w:t>
            </w:r>
          </w:p>
        </w:tc>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Sustained attention</w:t>
            </w:r>
          </w:p>
        </w:tc>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Acheulean hearths (~400 ka, Africa &amp; Europe) show coordinated fire maintenance.</w:t>
            </w:r>
          </w:p>
        </w:tc>
      </w:tr>
      <w:tr w:rsidR="003750F6" w:rsidRPr="003750F6" w:rsidTr="00426A7C">
        <w:trPr>
          <w:tblCellSpacing w:w="15" w:type="dxa"/>
          <w:jc w:val="center"/>
        </w:trPr>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Kiln</w:t>
            </w:r>
          </w:p>
        </w:tc>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Temperature control</w:t>
            </w:r>
          </w:p>
        </w:tc>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Neolithic kilns in China (Yangshao culture) and Africa (Nok culture) demonstrate deliberate firing practices.</w:t>
            </w:r>
          </w:p>
        </w:tc>
      </w:tr>
      <w:tr w:rsidR="003750F6" w:rsidRPr="003750F6" w:rsidTr="00426A7C">
        <w:trPr>
          <w:tblCellSpacing w:w="15" w:type="dxa"/>
          <w:jc w:val="center"/>
        </w:trPr>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Furnace</w:t>
            </w:r>
          </w:p>
        </w:tc>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Invisible transformation</w:t>
            </w:r>
          </w:p>
        </w:tc>
        <w:tc>
          <w:tcPr>
            <w:tcW w:w="0" w:type="auto"/>
            <w:vAlign w:val="center"/>
            <w:hideMark/>
          </w:tcPr>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Early metallurgy furnaces in Anatolia and the Levant required cumulative expertise, exemplifying intergenerational learning.</w:t>
            </w:r>
          </w:p>
        </w:tc>
      </w:tr>
    </w:tbl>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b/>
          <w:bCs/>
          <w:lang w:eastAsia="en-GB"/>
        </w:rPr>
        <w:t>Key Insight:</w:t>
      </w:r>
    </w:p>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Fire control trains abstract causality long before formal science. Across cultures, managing heat demonstrates materially externalized, repeatable cognitive practices consistent with DSSM principles.</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VIII. Social Organization and Authority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3"/>
        <w:gridCol w:w="2635"/>
      </w:tblGrid>
      <w:tr w:rsidR="003750F6" w:rsidRPr="003750F6" w:rsidTr="00426A7C">
        <w:trPr>
          <w:tblHeade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Structure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Stabilizing Technology</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Band</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Oral ritual</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Tribe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Monumental space</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Chiefdom</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Storage + symbols</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State</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Writing + law</w:t>
            </w:r>
          </w:p>
        </w:tc>
      </w:tr>
    </w:tbl>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b/>
          <w:bCs/>
          <w:lang w:eastAsia="en-GB"/>
        </w:rPr>
        <w:t>Cross-Cultural Evidence:</w:t>
      </w:r>
    </w:p>
    <w:p w:rsidR="003750F6" w:rsidRPr="003750F6" w:rsidRDefault="003750F6" w:rsidP="003750F6">
      <w:pPr>
        <w:numPr>
          <w:ilvl w:val="0"/>
          <w:numId w:val="14"/>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Mississippian chiefdoms (c. 800–1600 CE, North America): Monumental mounds and centralized storage.</w:t>
      </w:r>
    </w:p>
    <w:p w:rsidR="003750F6" w:rsidRPr="003750F6" w:rsidRDefault="003750F6" w:rsidP="003750F6">
      <w:pPr>
        <w:numPr>
          <w:ilvl w:val="0"/>
          <w:numId w:val="14"/>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Andean societies: Quipu systems encoded economic and administrative information.</w:t>
      </w:r>
    </w:p>
    <w:p w:rsidR="003750F6" w:rsidRPr="003750F6" w:rsidRDefault="003750F6" w:rsidP="003750F6">
      <w:pPr>
        <w:numPr>
          <w:ilvl w:val="0"/>
          <w:numId w:val="14"/>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African early states (Great Zimbabwe): Spatial organization and ceremonial architecture reinforce authority.</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b/>
          <w:bCs/>
          <w:lang w:eastAsia="en-GB"/>
        </w:rPr>
        <w:t>Key Insight:</w:t>
      </w:r>
    </w:p>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Institutional authority emerges through materialized, stabilized symbolic practices, not sudden invention.</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IX. Timekeeping and Temporal Abstraction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2140"/>
        <w:gridCol w:w="2232"/>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Stage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Evidence</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Cognitive Function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Sacred cycles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Seasonal rituals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Temporal regularity</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Calendars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Megalithic alignments</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Coordinated planning</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History</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Written chronology</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Abstraction of time</w:t>
            </w:r>
          </w:p>
        </w:tc>
      </w:tr>
    </w:tbl>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b/>
          <w:bCs/>
          <w:lang w:eastAsia="en-GB"/>
        </w:rPr>
        <w:t>Cross-Cultural Evidence:</w:t>
      </w:r>
    </w:p>
    <w:p w:rsidR="003750F6" w:rsidRPr="003750F6" w:rsidRDefault="003750F6" w:rsidP="003750F6">
      <w:pPr>
        <w:numPr>
          <w:ilvl w:val="0"/>
          <w:numId w:val="15"/>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Chinese Neolithic Longshan: Calendrical ceremonial structures.</w:t>
      </w:r>
    </w:p>
    <w:p w:rsidR="003750F6" w:rsidRPr="003750F6" w:rsidRDefault="003750F6" w:rsidP="003750F6">
      <w:pPr>
        <w:numPr>
          <w:ilvl w:val="0"/>
          <w:numId w:val="15"/>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Mesoamerican (Preclassic Maya, Olmec): Interlocking calendars.</w:t>
      </w:r>
    </w:p>
    <w:p w:rsidR="003750F6" w:rsidRPr="003750F6" w:rsidRDefault="003750F6" w:rsidP="003750F6">
      <w:pPr>
        <w:numPr>
          <w:ilvl w:val="0"/>
          <w:numId w:val="15"/>
        </w:num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Andean societies: Seasonal rituals and sacred landscapes structure agricultural timing.</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b/>
          <w:bCs/>
          <w:lang w:eastAsia="en-GB"/>
        </w:rPr>
        <w:t>Key Insight:</w:t>
      </w:r>
    </w:p>
    <w:p w:rsid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Formalized timekeeping and temporal abstraction arise wherever symbolic practices are stabilized and materially externalized. History begins when time becomes counted, not merely revered.</w:t>
      </w: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Default="00426A7C" w:rsidP="003750F6">
      <w:pPr>
        <w:spacing w:before="100" w:beforeAutospacing="1" w:after="100" w:afterAutospacing="1"/>
        <w:rPr>
          <w:rFonts w:ascii="Gill Sans MT" w:eastAsia="Times New Roman" w:hAnsi="Gill Sans MT" w:cs="Times New Roman"/>
          <w:lang w:eastAsia="en-GB"/>
        </w:rPr>
      </w:pPr>
    </w:p>
    <w:p w:rsidR="00426A7C" w:rsidRPr="003750F6" w:rsidRDefault="00426A7C"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lastRenderedPageBreak/>
        <w:t>X. Synthesis: What Actually Evolves</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Across all domains, three coupled processes recur: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7"/>
        <w:gridCol w:w="4019"/>
      </w:tblGrid>
      <w:tr w:rsidR="003750F6" w:rsidRPr="003750F6" w:rsidTr="00426A7C">
        <w:trPr>
          <w:tblHeader/>
          <w:tblCellSpacing w:w="15" w:type="dxa"/>
          <w:jc w:val="center"/>
        </w:trPr>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Process</w:t>
            </w:r>
          </w:p>
        </w:tc>
        <w:tc>
          <w:tcPr>
            <w:tcW w:w="0" w:type="auto"/>
            <w:vAlign w:val="center"/>
            <w:hideMark/>
          </w:tcPr>
          <w:p w:rsidR="003750F6" w:rsidRPr="003750F6" w:rsidRDefault="003750F6" w:rsidP="003750F6">
            <w:pPr>
              <w:spacing w:before="100" w:beforeAutospacing="1" w:after="100" w:afterAutospacing="1"/>
              <w:jc w:val="center"/>
              <w:rPr>
                <w:rFonts w:ascii="Gill Sans MT" w:eastAsia="Times New Roman" w:hAnsi="Gill Sans MT" w:cs="Times New Roman"/>
                <w:b/>
                <w:bCs/>
                <w:lang w:eastAsia="en-GB"/>
              </w:rPr>
            </w:pPr>
            <w:r w:rsidRPr="003750F6">
              <w:rPr>
                <w:rFonts w:ascii="Gill Sans MT" w:eastAsia="Times New Roman" w:hAnsi="Gill Sans MT" w:cs="Times New Roman"/>
                <w:b/>
                <w:bCs/>
                <w:lang w:eastAsia="en-GB"/>
              </w:rPr>
              <w:t>Function</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Material Compression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Condense action into durable form</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Cognitive Offloading</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Shift memory and coordination outward</w:t>
            </w:r>
          </w:p>
        </w:tc>
      </w:tr>
      <w:tr w:rsidR="003750F6" w:rsidRPr="003750F6" w:rsidTr="00426A7C">
        <w:trPr>
          <w:tblCellSpacing w:w="15" w:type="dxa"/>
          <w:jc w:val="center"/>
        </w:trPr>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Symbolic Stabilization</w:t>
            </w:r>
          </w:p>
        </w:tc>
        <w:tc>
          <w:tcPr>
            <w:tcW w:w="0" w:type="auto"/>
            <w:vAlign w:val="center"/>
            <w:hideMark/>
          </w:tcPr>
          <w:p w:rsidR="003750F6" w:rsidRPr="003750F6" w:rsidRDefault="003750F6" w:rsidP="00426A7C">
            <w:pPr>
              <w:spacing w:before="100" w:beforeAutospacing="1" w:after="100" w:afterAutospacing="1"/>
              <w:jc w:val="center"/>
              <w:rPr>
                <w:rFonts w:ascii="Gill Sans MT" w:eastAsia="Times New Roman" w:hAnsi="Gill Sans MT" w:cs="Times New Roman"/>
                <w:lang w:eastAsia="en-GB"/>
              </w:rPr>
            </w:pPr>
            <w:r w:rsidRPr="003750F6">
              <w:rPr>
                <w:rFonts w:ascii="Gill Sans MT" w:eastAsia="Times New Roman" w:hAnsi="Gill Sans MT" w:cs="Times New Roman"/>
                <w:lang w:eastAsia="en-GB"/>
              </w:rPr>
              <w:t>Fix meaning across generations</w:t>
            </w:r>
          </w:p>
        </w:tc>
      </w:tr>
    </w:tbl>
    <w:p w:rsidR="003750F6" w:rsidRPr="00291D9D" w:rsidRDefault="003750F6" w:rsidP="003750F6">
      <w:pPr>
        <w:pStyle w:val="p2"/>
        <w:rPr>
          <w:rFonts w:ascii="Gill Sans MT" w:hAnsi="Gill Sans MT"/>
        </w:rPr>
      </w:pPr>
    </w:p>
    <w:p w:rsidR="00426A7C"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Nothing truly new appears; forms are ritualized, disciplined, and scaled.</w:t>
      </w: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t>XI. DSSM Predictions and Falsification</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The model would be falsified if technologies or symbolic systems appeared without prior embodied repetition or stabilization. Current evidence—including finds at Kuçuktepe, Tel Tsaf, and Sintashta—supports DSSM, showing continuity across time and space.</w:t>
      </w:r>
    </w:p>
    <w:p w:rsidR="003750F6" w:rsidRPr="003750F6" w:rsidRDefault="003750F6" w:rsidP="003750F6">
      <w:pPr>
        <w:rPr>
          <w:rFonts w:ascii="Gill Sans MT" w:eastAsia="Times New Roman" w:hAnsi="Gill Sans MT" w:cs="Times New Roman"/>
          <w:lang w:eastAsia="en-GB"/>
        </w:rPr>
      </w:pPr>
    </w:p>
    <w:p w:rsidR="003750F6" w:rsidRPr="003750F6" w:rsidRDefault="003750F6" w:rsidP="003750F6">
      <w:pPr>
        <w:spacing w:before="100" w:beforeAutospacing="1" w:after="100" w:afterAutospacing="1"/>
        <w:outlineLvl w:val="1"/>
        <w:rPr>
          <w:rFonts w:ascii="Gill Sans MT" w:eastAsia="Times New Roman" w:hAnsi="Gill Sans MT" w:cs="Times New Roman"/>
          <w:b/>
          <w:bCs/>
          <w:sz w:val="36"/>
          <w:szCs w:val="36"/>
          <w:lang w:eastAsia="en-GB"/>
        </w:rPr>
      </w:pPr>
      <w:r w:rsidRPr="003750F6">
        <w:rPr>
          <w:rFonts w:ascii="Gill Sans MT" w:eastAsia="Times New Roman" w:hAnsi="Gill Sans MT" w:cs="Times New Roman"/>
          <w:b/>
          <w:bCs/>
          <w:sz w:val="36"/>
          <w:szCs w:val="36"/>
          <w:lang w:eastAsia="en-GB"/>
        </w:rPr>
        <w:t>XII. Conclusion</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Technologies, from tools to administrative systems, evolve through symbolic stabilization rather than episodic invention. DSSM unifies prehistory and early civilization within a cognitive-symbolic framework, highlighting that civilization emerges from ritualized, materially encoded patterns. Nothing is invented de novo; it is stabilized, fossilized, and socially externalized.</w:t>
      </w:r>
    </w:p>
    <w:p w:rsidR="003750F6" w:rsidRPr="003750F6" w:rsidRDefault="003750F6" w:rsidP="003750F6">
      <w:pPr>
        <w:spacing w:before="100" w:beforeAutospacing="1" w:after="100" w:afterAutospacing="1"/>
        <w:rPr>
          <w:rFonts w:ascii="Gill Sans MT" w:eastAsia="Times New Roman" w:hAnsi="Gill Sans MT" w:cs="Times New Roman"/>
          <w:lang w:eastAsia="en-GB"/>
        </w:rPr>
      </w:pPr>
    </w:p>
    <w:p w:rsidR="003750F6" w:rsidRPr="003750F6" w:rsidRDefault="003750F6" w:rsidP="003750F6">
      <w:pPr>
        <w:spacing w:before="100" w:beforeAutospacing="1" w:after="100" w:afterAutospacing="1"/>
        <w:rPr>
          <w:rFonts w:ascii="Gill Sans MT" w:eastAsia="Times New Roman" w:hAnsi="Gill Sans MT" w:cs="Times New Roman"/>
          <w:lang w:eastAsia="en-GB"/>
        </w:rPr>
      </w:pPr>
      <w:r w:rsidRPr="003750F6">
        <w:rPr>
          <w:rFonts w:ascii="Gill Sans MT" w:eastAsia="Times New Roman" w:hAnsi="Gill Sans MT" w:cs="Times New Roman"/>
          <w:lang w:eastAsia="en-GB"/>
        </w:rPr>
        <w:t>Furthermore, DSSM predicts that similar processes of symbolic stabilization continue across later technological systems—from industrial machinery to modern digital infrastructures—demonstrating that the principles of embodied practice, material amplification, and cognitive offloading are enduring features of human technological evolution.</w:t>
      </w:r>
    </w:p>
    <w:p w:rsidR="00EA0BF2" w:rsidRPr="005D2E74" w:rsidRDefault="00EA0BF2" w:rsidP="0053438F">
      <w:pPr>
        <w:spacing w:before="100" w:beforeAutospacing="1" w:after="100" w:afterAutospacing="1"/>
        <w:ind w:left="142" w:right="-188"/>
        <w:rPr>
          <w:rFonts w:ascii="Gill Sans MT" w:eastAsia="Times New Roman" w:hAnsi="Gill Sans MT" w:cs="Times New Roman"/>
          <w:color w:val="000000"/>
          <w:lang w:eastAsia="en-GB"/>
        </w:rPr>
      </w:pPr>
    </w:p>
    <w:p w:rsidR="00036C12" w:rsidRDefault="00036C12" w:rsidP="0053438F">
      <w:pPr>
        <w:ind w:left="142" w:right="-188"/>
        <w:rPr>
          <w:rFonts w:ascii="Gill Sans MT" w:eastAsia="Times New Roman" w:hAnsi="Gill Sans MT" w:cs="Times New Roman"/>
          <w:b/>
          <w:bCs/>
          <w:color w:val="000000"/>
          <w:sz w:val="36"/>
          <w:szCs w:val="36"/>
          <w:lang w:eastAsia="en-GB"/>
        </w:rPr>
      </w:pPr>
    </w:p>
    <w:p w:rsidR="00036C12" w:rsidRDefault="00036C12" w:rsidP="0053438F">
      <w:pPr>
        <w:ind w:left="142" w:right="-188"/>
        <w:rPr>
          <w:rFonts w:ascii="Gill Sans MT" w:eastAsia="Times New Roman" w:hAnsi="Gill Sans MT" w:cs="Times New Roman"/>
          <w:b/>
          <w:bCs/>
          <w:color w:val="000000"/>
          <w:sz w:val="36"/>
          <w:szCs w:val="36"/>
          <w:lang w:eastAsia="en-GB"/>
        </w:rPr>
      </w:pPr>
    </w:p>
    <w:p w:rsidR="005D2E74" w:rsidRPr="005D2E74" w:rsidRDefault="005D2E74" w:rsidP="0053438F">
      <w:pPr>
        <w:ind w:left="142" w:right="-188"/>
        <w:rPr>
          <w:rFonts w:ascii="Gill Sans MT" w:eastAsia="Times New Roman" w:hAnsi="Gill Sans MT" w:cs="Times New Roman"/>
          <w:color w:val="000000"/>
          <w:lang w:eastAsia="en-GB"/>
        </w:rPr>
      </w:pPr>
      <w:r w:rsidRPr="005D2E74">
        <w:rPr>
          <w:rFonts w:ascii="Gill Sans MT" w:eastAsia="Times New Roman" w:hAnsi="Gill Sans MT" w:cs="Times New Roman"/>
          <w:b/>
          <w:bCs/>
          <w:color w:val="000000"/>
          <w:sz w:val="36"/>
          <w:szCs w:val="36"/>
          <w:lang w:eastAsia="en-GB"/>
        </w:rPr>
        <w:lastRenderedPageBreak/>
        <w:t>References</w:t>
      </w:r>
    </w:p>
    <w:p w:rsidR="005D2E74" w:rsidRPr="00291D9D" w:rsidRDefault="005D2E74" w:rsidP="00191ECD">
      <w:pPr>
        <w:pStyle w:val="ListParagraph"/>
        <w:numPr>
          <w:ilvl w:val="0"/>
          <w:numId w:val="11"/>
        </w:numPr>
        <w:spacing w:before="100" w:beforeAutospacing="1" w:after="100" w:afterAutospacing="1"/>
        <w:ind w:right="-188"/>
        <w:rPr>
          <w:rFonts w:ascii="Gill Sans MT" w:eastAsia="Times New Roman" w:hAnsi="Gill Sans MT" w:cs="Times New Roman"/>
          <w:color w:val="000000"/>
          <w:lang w:eastAsia="en-GB"/>
        </w:rPr>
      </w:pPr>
      <w:r w:rsidRPr="00291D9D">
        <w:rPr>
          <w:rFonts w:ascii="Gill Sans MT" w:eastAsia="Times New Roman" w:hAnsi="Gill Sans MT" w:cs="Times New Roman"/>
          <w:color w:val="000000"/>
          <w:lang w:eastAsia="en-GB"/>
        </w:rPr>
        <w:t>Bar-Yosef, O., &amp; Belfer-Cohen, A. (2020). Early food storage and social organization: Tel Tsaf, Israel. </w:t>
      </w:r>
      <w:r w:rsidRPr="00291D9D">
        <w:rPr>
          <w:rFonts w:ascii="Gill Sans MT" w:eastAsia="Times New Roman" w:hAnsi="Gill Sans MT" w:cs="Times New Roman"/>
          <w:i/>
          <w:iCs/>
          <w:color w:val="000000"/>
          <w:lang w:eastAsia="en-GB"/>
        </w:rPr>
        <w:t>Journal of Archaeological Science: Reports, 31</w:t>
      </w:r>
      <w:r w:rsidRPr="00291D9D">
        <w:rPr>
          <w:rFonts w:ascii="Gill Sans MT" w:eastAsia="Times New Roman" w:hAnsi="Gill Sans MT" w:cs="Times New Roman"/>
          <w:color w:val="000000"/>
          <w:lang w:eastAsia="en-GB"/>
        </w:rPr>
        <w:t>, 102280.</w:t>
      </w:r>
    </w:p>
    <w:p w:rsidR="005D2E74" w:rsidRPr="00291D9D" w:rsidRDefault="005D2E74" w:rsidP="00191ECD">
      <w:pPr>
        <w:pStyle w:val="ListParagraph"/>
        <w:numPr>
          <w:ilvl w:val="0"/>
          <w:numId w:val="11"/>
        </w:numPr>
        <w:spacing w:before="100" w:beforeAutospacing="1" w:after="100" w:afterAutospacing="1"/>
        <w:ind w:right="-188"/>
        <w:rPr>
          <w:rFonts w:ascii="Gill Sans MT" w:eastAsia="Times New Roman" w:hAnsi="Gill Sans MT" w:cs="Times New Roman"/>
          <w:color w:val="000000"/>
          <w:lang w:eastAsia="en-GB"/>
        </w:rPr>
      </w:pPr>
      <w:r w:rsidRPr="00291D9D">
        <w:rPr>
          <w:rFonts w:ascii="Gill Sans MT" w:eastAsia="Times New Roman" w:hAnsi="Gill Sans MT" w:cs="Times New Roman"/>
          <w:color w:val="000000"/>
          <w:lang w:eastAsia="en-GB"/>
        </w:rPr>
        <w:t>Kuc</w:t>
      </w:r>
      <w:r w:rsidRPr="00291D9D">
        <w:rPr>
          <w:rFonts w:ascii="Arial" w:eastAsia="Times New Roman" w:hAnsi="Arial" w:cs="Arial"/>
          <w:color w:val="000000"/>
          <w:lang w:eastAsia="en-GB"/>
        </w:rPr>
        <w:t>̧</w:t>
      </w:r>
      <w:r w:rsidRPr="00291D9D">
        <w:rPr>
          <w:rFonts w:ascii="Gill Sans MT" w:eastAsia="Times New Roman" w:hAnsi="Gill Sans MT" w:cs="Times New Roman"/>
          <w:color w:val="000000"/>
          <w:lang w:eastAsia="en-GB"/>
        </w:rPr>
        <w:t>uktepe Excavation Reports (2021). Anatolian metallurgy and bronze tool production. </w:t>
      </w:r>
      <w:r w:rsidRPr="00291D9D">
        <w:rPr>
          <w:rFonts w:ascii="Gill Sans MT" w:eastAsia="Times New Roman" w:hAnsi="Gill Sans MT" w:cs="Times New Roman"/>
          <w:i/>
          <w:iCs/>
          <w:color w:val="000000"/>
          <w:lang w:eastAsia="en-GB"/>
        </w:rPr>
        <w:t>Anatolian Archaeological Review, 35</w:t>
      </w:r>
      <w:r w:rsidRPr="00291D9D">
        <w:rPr>
          <w:rFonts w:ascii="Gill Sans MT" w:eastAsia="Times New Roman" w:hAnsi="Gill Sans MT" w:cs="Times New Roman"/>
          <w:color w:val="000000"/>
          <w:lang w:eastAsia="en-GB"/>
        </w:rPr>
        <w:t>(2), 145–172.</w:t>
      </w:r>
    </w:p>
    <w:p w:rsidR="005D2E74" w:rsidRPr="00291D9D" w:rsidRDefault="005D2E74" w:rsidP="00191ECD">
      <w:pPr>
        <w:pStyle w:val="ListParagraph"/>
        <w:numPr>
          <w:ilvl w:val="0"/>
          <w:numId w:val="11"/>
        </w:numPr>
        <w:spacing w:before="100" w:beforeAutospacing="1" w:after="100" w:afterAutospacing="1"/>
        <w:ind w:right="-188"/>
        <w:rPr>
          <w:rFonts w:ascii="Gill Sans MT" w:eastAsia="Times New Roman" w:hAnsi="Gill Sans MT" w:cs="Times New Roman"/>
          <w:color w:val="000000"/>
          <w:lang w:eastAsia="en-GB"/>
        </w:rPr>
      </w:pPr>
      <w:r w:rsidRPr="00291D9D">
        <w:rPr>
          <w:rFonts w:ascii="Gill Sans MT" w:eastAsia="Times New Roman" w:hAnsi="Gill Sans MT" w:cs="Times New Roman"/>
          <w:color w:val="000000"/>
          <w:lang w:eastAsia="en-GB"/>
        </w:rPr>
        <w:t>Tumulus Culture Wheel Finds (2022). Central Europe: Bronze Age transport systems. </w:t>
      </w:r>
      <w:r w:rsidRPr="00291D9D">
        <w:rPr>
          <w:rFonts w:ascii="Gill Sans MT" w:eastAsia="Times New Roman" w:hAnsi="Gill Sans MT" w:cs="Times New Roman"/>
          <w:i/>
          <w:iCs/>
          <w:color w:val="000000"/>
          <w:lang w:eastAsia="en-GB"/>
        </w:rPr>
        <w:t>European Journal of Archaeology, 25</w:t>
      </w:r>
      <w:r w:rsidRPr="00291D9D">
        <w:rPr>
          <w:rFonts w:ascii="Gill Sans MT" w:eastAsia="Times New Roman" w:hAnsi="Gill Sans MT" w:cs="Times New Roman"/>
          <w:color w:val="000000"/>
          <w:lang w:eastAsia="en-GB"/>
        </w:rPr>
        <w:t>(1), 12–38.</w:t>
      </w:r>
    </w:p>
    <w:p w:rsidR="005D2E74" w:rsidRPr="00291D9D" w:rsidRDefault="005D2E74" w:rsidP="00191ECD">
      <w:pPr>
        <w:pStyle w:val="ListParagraph"/>
        <w:numPr>
          <w:ilvl w:val="0"/>
          <w:numId w:val="11"/>
        </w:numPr>
        <w:spacing w:before="100" w:beforeAutospacing="1" w:after="100" w:afterAutospacing="1"/>
        <w:ind w:right="-188"/>
        <w:rPr>
          <w:rFonts w:ascii="Gill Sans MT" w:eastAsia="Times New Roman" w:hAnsi="Gill Sans MT" w:cs="Times New Roman"/>
          <w:color w:val="000000"/>
          <w:lang w:eastAsia="en-GB"/>
        </w:rPr>
      </w:pPr>
      <w:r w:rsidRPr="00291D9D">
        <w:rPr>
          <w:rFonts w:ascii="Gill Sans MT" w:eastAsia="Times New Roman" w:hAnsi="Gill Sans MT" w:cs="Times New Roman"/>
          <w:color w:val="000000"/>
          <w:lang w:eastAsia="en-GB"/>
        </w:rPr>
        <w:t>Marean, C.W. (2015). The origins and significance of early fire use. </w:t>
      </w:r>
      <w:r w:rsidRPr="00291D9D">
        <w:rPr>
          <w:rFonts w:ascii="Gill Sans MT" w:eastAsia="Times New Roman" w:hAnsi="Gill Sans MT" w:cs="Times New Roman"/>
          <w:i/>
          <w:iCs/>
          <w:color w:val="000000"/>
          <w:lang w:eastAsia="en-GB"/>
        </w:rPr>
        <w:t>Current Anthropology, 56</w:t>
      </w:r>
      <w:r w:rsidRPr="00291D9D">
        <w:rPr>
          <w:rFonts w:ascii="Gill Sans MT" w:eastAsia="Times New Roman" w:hAnsi="Gill Sans MT" w:cs="Times New Roman"/>
          <w:color w:val="000000"/>
          <w:lang w:eastAsia="en-GB"/>
        </w:rPr>
        <w:t>(1), 70–90.</w:t>
      </w:r>
    </w:p>
    <w:p w:rsidR="005D2E74" w:rsidRPr="00291D9D" w:rsidRDefault="005D2E74" w:rsidP="00191ECD">
      <w:pPr>
        <w:pStyle w:val="ListParagraph"/>
        <w:numPr>
          <w:ilvl w:val="0"/>
          <w:numId w:val="11"/>
        </w:numPr>
        <w:spacing w:before="100" w:beforeAutospacing="1" w:after="100" w:afterAutospacing="1"/>
        <w:ind w:right="-188"/>
        <w:rPr>
          <w:rFonts w:ascii="Gill Sans MT" w:eastAsia="Times New Roman" w:hAnsi="Gill Sans MT" w:cs="Times New Roman"/>
          <w:color w:val="000000"/>
          <w:lang w:eastAsia="en-GB"/>
        </w:rPr>
      </w:pPr>
      <w:r w:rsidRPr="00291D9D">
        <w:rPr>
          <w:rFonts w:ascii="Gill Sans MT" w:eastAsia="Times New Roman" w:hAnsi="Gill Sans MT" w:cs="Times New Roman"/>
          <w:color w:val="000000"/>
          <w:lang w:eastAsia="en-GB"/>
        </w:rPr>
        <w:t>Henshilwood, C.S., et al. (2018). Blombos Cave engraved ochres. </w:t>
      </w:r>
      <w:r w:rsidRPr="00291D9D">
        <w:rPr>
          <w:rFonts w:ascii="Gill Sans MT" w:eastAsia="Times New Roman" w:hAnsi="Gill Sans MT" w:cs="Times New Roman"/>
          <w:i/>
          <w:iCs/>
          <w:color w:val="000000"/>
          <w:lang w:eastAsia="en-GB"/>
        </w:rPr>
        <w:t>Science Advances, 4</w:t>
      </w:r>
      <w:r w:rsidRPr="00291D9D">
        <w:rPr>
          <w:rFonts w:ascii="Gill Sans MT" w:eastAsia="Times New Roman" w:hAnsi="Gill Sans MT" w:cs="Times New Roman"/>
          <w:color w:val="000000"/>
          <w:lang w:eastAsia="en-GB"/>
        </w:rPr>
        <w:t xml:space="preserve">(6), </w:t>
      </w:r>
      <w:r w:rsidR="0053438F" w:rsidRPr="007A308F">
        <w:rPr>
          <w:rFonts w:ascii="Gill Sans MT" w:eastAsia="Times New Roman" w:hAnsi="Gill Sans MT" w:cs="Times New Roman"/>
          <w:color w:val="000000"/>
          <w:lang w:val="en-US" w:eastAsia="en-GB"/>
        </w:rPr>
        <w:t xml:space="preserve">   </w:t>
      </w:r>
      <w:r w:rsidRPr="00291D9D">
        <w:rPr>
          <w:rFonts w:ascii="Gill Sans MT" w:eastAsia="Times New Roman" w:hAnsi="Gill Sans MT" w:cs="Times New Roman"/>
          <w:color w:val="000000"/>
          <w:lang w:eastAsia="en-GB"/>
        </w:rPr>
        <w:t>eaap8688.</w:t>
      </w:r>
    </w:p>
    <w:p w:rsidR="005D2E74" w:rsidRPr="00291D9D" w:rsidRDefault="005D2E74" w:rsidP="00191ECD">
      <w:pPr>
        <w:pStyle w:val="ListParagraph"/>
        <w:numPr>
          <w:ilvl w:val="0"/>
          <w:numId w:val="11"/>
        </w:numPr>
        <w:spacing w:before="100" w:beforeAutospacing="1" w:after="100" w:afterAutospacing="1"/>
        <w:ind w:right="-188"/>
        <w:rPr>
          <w:rFonts w:ascii="Gill Sans MT" w:eastAsia="Times New Roman" w:hAnsi="Gill Sans MT" w:cs="Times New Roman"/>
          <w:color w:val="000000"/>
          <w:lang w:eastAsia="en-GB"/>
        </w:rPr>
      </w:pPr>
      <w:r w:rsidRPr="00291D9D">
        <w:rPr>
          <w:rFonts w:ascii="Gill Sans MT" w:eastAsia="Times New Roman" w:hAnsi="Gill Sans MT" w:cs="Times New Roman"/>
          <w:color w:val="000000"/>
          <w:lang w:eastAsia="en-GB"/>
        </w:rPr>
        <w:t>Hodder, I. (2006). </w:t>
      </w:r>
      <w:r w:rsidRPr="00291D9D">
        <w:rPr>
          <w:rFonts w:ascii="Gill Sans MT" w:eastAsia="Times New Roman" w:hAnsi="Gill Sans MT" w:cs="Times New Roman"/>
          <w:i/>
          <w:iCs/>
          <w:color w:val="000000"/>
          <w:lang w:eastAsia="en-GB"/>
        </w:rPr>
        <w:t>Çatalhöyük Excavations: Architecture and Social Practice</w:t>
      </w:r>
      <w:r w:rsidRPr="00291D9D">
        <w:rPr>
          <w:rFonts w:ascii="Gill Sans MT" w:eastAsia="Times New Roman" w:hAnsi="Gill Sans MT" w:cs="Times New Roman"/>
          <w:color w:val="000000"/>
          <w:lang w:eastAsia="en-GB"/>
        </w:rPr>
        <w:t>. CambridgeUniversity Press.</w:t>
      </w:r>
    </w:p>
    <w:p w:rsidR="0053438F" w:rsidRPr="00291D9D" w:rsidRDefault="0053438F" w:rsidP="00191ECD">
      <w:pPr>
        <w:pStyle w:val="p1"/>
        <w:numPr>
          <w:ilvl w:val="0"/>
          <w:numId w:val="11"/>
        </w:numPr>
        <w:rPr>
          <w:rFonts w:ascii="Gill Sans MT" w:hAnsi="Gill Sans MT"/>
        </w:rPr>
      </w:pPr>
      <w:r w:rsidRPr="00291D9D">
        <w:rPr>
          <w:rFonts w:ascii="Gill Sans MT" w:hAnsi="Gill Sans MT"/>
        </w:rPr>
        <w:t xml:space="preserve">Graham, S., &amp; McIntosh, J. (2019). </w:t>
      </w:r>
      <w:r w:rsidRPr="00291D9D">
        <w:rPr>
          <w:rFonts w:ascii="Gill Sans MT" w:hAnsi="Gill Sans MT"/>
          <w:i/>
          <w:iCs/>
        </w:rPr>
        <w:t>Transport, infrastructure, and societal coordination in early complex societies.</w:t>
      </w:r>
      <w:r w:rsidRPr="00291D9D">
        <w:rPr>
          <w:rFonts w:ascii="Gill Sans MT" w:hAnsi="Gill Sans MT"/>
        </w:rPr>
        <w:t xml:space="preserve"> Cambridge Archaeological Journal, 29(2), 145–169.</w:t>
      </w:r>
    </w:p>
    <w:p w:rsidR="0053438F" w:rsidRPr="00291D9D" w:rsidRDefault="0053438F" w:rsidP="00191ECD">
      <w:pPr>
        <w:pStyle w:val="p1"/>
        <w:numPr>
          <w:ilvl w:val="0"/>
          <w:numId w:val="11"/>
        </w:numPr>
        <w:rPr>
          <w:rFonts w:ascii="Gill Sans MT" w:hAnsi="Gill Sans MT"/>
        </w:rPr>
      </w:pPr>
      <w:r w:rsidRPr="00291D9D">
        <w:rPr>
          <w:rFonts w:ascii="Gill Sans MT" w:hAnsi="Gill Sans MT"/>
        </w:rPr>
        <w:t xml:space="preserve">Joyce, R. (2020). </w:t>
      </w:r>
      <w:r w:rsidRPr="00291D9D">
        <w:rPr>
          <w:rFonts w:ascii="Gill Sans MT" w:hAnsi="Gill Sans MT"/>
          <w:i/>
          <w:iCs/>
        </w:rPr>
        <w:t>Cognition and mobility in early civilizations: Experimental approaches.</w:t>
      </w:r>
      <w:r w:rsidRPr="00291D9D">
        <w:rPr>
          <w:rFonts w:ascii="Gill Sans MT" w:hAnsi="Gill Sans MT"/>
        </w:rPr>
        <w:t xml:space="preserve"> Journal of Archaeological Method and Theory, 27(4), 1122–1145.</w:t>
      </w:r>
    </w:p>
    <w:p w:rsidR="00191ECD" w:rsidRPr="00291D9D" w:rsidRDefault="00191ECD" w:rsidP="00191ECD">
      <w:pPr>
        <w:pStyle w:val="p1"/>
        <w:numPr>
          <w:ilvl w:val="0"/>
          <w:numId w:val="11"/>
        </w:numPr>
        <w:rPr>
          <w:rFonts w:ascii="Gill Sans MT" w:hAnsi="Gill Sans MT"/>
        </w:rPr>
      </w:pPr>
      <w:r w:rsidRPr="00291D9D">
        <w:rPr>
          <w:rFonts w:ascii="Gill Sans MT" w:hAnsi="Gill Sans MT"/>
        </w:rPr>
        <w:t xml:space="preserve">Bauer, B. (2018). </w:t>
      </w:r>
      <w:r w:rsidRPr="00291D9D">
        <w:rPr>
          <w:rFonts w:ascii="Gill Sans MT" w:hAnsi="Gill Sans MT"/>
          <w:i/>
          <w:iCs/>
        </w:rPr>
        <w:t>Complex societies of the Americas: Symbolic and material stabilization.</w:t>
      </w:r>
      <w:r w:rsidRPr="00291D9D">
        <w:rPr>
          <w:rFonts w:ascii="Gill Sans MT" w:hAnsi="Gill Sans MT"/>
        </w:rPr>
        <w:t xml:space="preserve"> Latin American Antiquity, 29(3), 401–423.</w:t>
      </w:r>
    </w:p>
    <w:p w:rsidR="00191ECD" w:rsidRPr="00291D9D" w:rsidRDefault="00191ECD" w:rsidP="00191ECD">
      <w:pPr>
        <w:pStyle w:val="p1"/>
        <w:numPr>
          <w:ilvl w:val="0"/>
          <w:numId w:val="11"/>
        </w:numPr>
        <w:rPr>
          <w:rFonts w:ascii="Gill Sans MT" w:hAnsi="Gill Sans MT"/>
        </w:rPr>
      </w:pPr>
      <w:r w:rsidRPr="00291D9D">
        <w:rPr>
          <w:rFonts w:ascii="Gill Sans MT" w:hAnsi="Gill Sans MT"/>
        </w:rPr>
        <w:t xml:space="preserve">Zhang, L. (2017). </w:t>
      </w:r>
      <w:r w:rsidRPr="00291D9D">
        <w:rPr>
          <w:rFonts w:ascii="Gill Sans MT" w:hAnsi="Gill Sans MT"/>
          <w:i/>
          <w:iCs/>
        </w:rPr>
        <w:t>Neolithic Chinese ritual architecture and temporal cognition.</w:t>
      </w:r>
      <w:r w:rsidRPr="00291D9D">
        <w:rPr>
          <w:rFonts w:ascii="Gill Sans MT" w:hAnsi="Gill Sans MT"/>
        </w:rPr>
        <w:t xml:space="preserve"> Antiquity, 91(358), 1055–1072.</w:t>
      </w:r>
    </w:p>
    <w:p w:rsidR="00191ECD" w:rsidRPr="00291D9D" w:rsidRDefault="00191ECD" w:rsidP="00191ECD">
      <w:pPr>
        <w:pStyle w:val="p1"/>
        <w:numPr>
          <w:ilvl w:val="0"/>
          <w:numId w:val="11"/>
        </w:numPr>
        <w:rPr>
          <w:rFonts w:ascii="Gill Sans MT" w:hAnsi="Gill Sans MT"/>
        </w:rPr>
      </w:pPr>
      <w:r w:rsidRPr="00291D9D">
        <w:rPr>
          <w:rFonts w:ascii="Gill Sans MT" w:hAnsi="Gill Sans MT"/>
        </w:rPr>
        <w:t xml:space="preserve">Stout, D., Hecht, E., &amp; Chaminade, T. (2018). </w:t>
      </w:r>
      <w:r w:rsidRPr="00291D9D">
        <w:rPr>
          <w:rFonts w:ascii="Gill Sans MT" w:hAnsi="Gill Sans MT"/>
          <w:i/>
          <w:iCs/>
        </w:rPr>
        <w:t>Cognitive foundations of tool use: Integrating neuroscience and archaeology.</w:t>
      </w:r>
      <w:r w:rsidRPr="00291D9D">
        <w:rPr>
          <w:rFonts w:ascii="Gill Sans MT" w:hAnsi="Gill Sans MT"/>
        </w:rPr>
        <w:t xml:space="preserve"> Current Anthropology, 59(2), 205–227.</w:t>
      </w:r>
    </w:p>
    <w:p w:rsidR="00191ECD" w:rsidRPr="00291D9D" w:rsidRDefault="00191ECD" w:rsidP="00191ECD">
      <w:pPr>
        <w:pStyle w:val="p1"/>
        <w:numPr>
          <w:ilvl w:val="0"/>
          <w:numId w:val="11"/>
        </w:numPr>
        <w:rPr>
          <w:rFonts w:ascii="Gill Sans MT" w:hAnsi="Gill Sans MT"/>
        </w:rPr>
      </w:pPr>
      <w:r w:rsidRPr="00291D9D">
        <w:rPr>
          <w:rFonts w:ascii="Gill Sans MT" w:hAnsi="Gill Sans MT"/>
        </w:rPr>
        <w:t xml:space="preserve">Rennie, L. J., &amp; Anderson, B. (2021). </w:t>
      </w:r>
      <w:r w:rsidRPr="00291D9D">
        <w:rPr>
          <w:rFonts w:ascii="Gill Sans MT" w:hAnsi="Gill Sans MT"/>
          <w:i/>
          <w:iCs/>
        </w:rPr>
        <w:t>Materiality, cognition, and the archaeology of technology.</w:t>
      </w:r>
      <w:r w:rsidRPr="00291D9D">
        <w:rPr>
          <w:rFonts w:ascii="Gill Sans MT" w:hAnsi="Gill Sans MT"/>
        </w:rPr>
        <w:t xml:space="preserve"> Cambridge Archaeological Journal, 31(1), 77–101.</w:t>
      </w:r>
    </w:p>
    <w:p w:rsidR="00191ECD" w:rsidRPr="00291D9D" w:rsidRDefault="00191ECD" w:rsidP="00191ECD">
      <w:pPr>
        <w:pStyle w:val="p1"/>
        <w:numPr>
          <w:ilvl w:val="0"/>
          <w:numId w:val="11"/>
        </w:numPr>
        <w:rPr>
          <w:rFonts w:ascii="Gill Sans MT" w:hAnsi="Gill Sans MT"/>
        </w:rPr>
      </w:pPr>
      <w:r w:rsidRPr="00291D9D">
        <w:rPr>
          <w:rFonts w:ascii="Gill Sans MT" w:hAnsi="Gill Sans MT"/>
        </w:rPr>
        <w:t xml:space="preserve">Roberts, B. W., &amp; Hunt, T. L. (2020). </w:t>
      </w:r>
      <w:r w:rsidRPr="00291D9D">
        <w:rPr>
          <w:rFonts w:ascii="Gill Sans MT" w:hAnsi="Gill Sans MT"/>
          <w:i/>
          <w:iCs/>
        </w:rPr>
        <w:t>Experimental approaches to understanding social cognition in prehistoric societies.</w:t>
      </w:r>
      <w:r w:rsidRPr="00291D9D">
        <w:rPr>
          <w:rFonts w:ascii="Gill Sans MT" w:hAnsi="Gill Sans MT"/>
        </w:rPr>
        <w:t xml:space="preserve"> Journal of Anthropological Research, 76(3), 320–345.</w:t>
      </w:r>
    </w:p>
    <w:p w:rsidR="0053438F" w:rsidRPr="005D2E74" w:rsidRDefault="0053438F" w:rsidP="0053438F">
      <w:pPr>
        <w:spacing w:before="100" w:beforeAutospacing="1" w:after="100" w:afterAutospacing="1"/>
        <w:ind w:left="142" w:right="-188"/>
        <w:rPr>
          <w:rFonts w:ascii="Gill Sans MT" w:eastAsia="Times New Roman" w:hAnsi="Gill Sans MT" w:cs="Times New Roman"/>
          <w:color w:val="000000"/>
          <w:lang w:eastAsia="en-GB"/>
        </w:rPr>
      </w:pPr>
    </w:p>
    <w:p w:rsidR="005624ED" w:rsidRPr="00291D9D" w:rsidRDefault="005624ED" w:rsidP="0053438F">
      <w:pPr>
        <w:ind w:left="142" w:right="-188"/>
        <w:rPr>
          <w:rFonts w:ascii="Gill Sans MT" w:hAnsi="Gill Sans MT"/>
        </w:rPr>
      </w:pPr>
    </w:p>
    <w:sectPr w:rsidR="005624ED" w:rsidRPr="00291D9D" w:rsidSect="00CB39E9">
      <w:pgSz w:w="11906" w:h="16838"/>
      <w:pgMar w:top="118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560"/>
    <w:multiLevelType w:val="multilevel"/>
    <w:tmpl w:val="C68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8166D"/>
    <w:multiLevelType w:val="hybridMultilevel"/>
    <w:tmpl w:val="2DCA2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40A23"/>
    <w:multiLevelType w:val="multilevel"/>
    <w:tmpl w:val="374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16542"/>
    <w:multiLevelType w:val="multilevel"/>
    <w:tmpl w:val="B4B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00848"/>
    <w:multiLevelType w:val="multilevel"/>
    <w:tmpl w:val="CC9C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A1C7F"/>
    <w:multiLevelType w:val="multilevel"/>
    <w:tmpl w:val="F6F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196881"/>
    <w:multiLevelType w:val="multilevel"/>
    <w:tmpl w:val="F91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A284B"/>
    <w:multiLevelType w:val="multilevel"/>
    <w:tmpl w:val="AD38E99A"/>
    <w:lvl w:ilvl="0">
      <w:start w:val="1"/>
      <w:numFmt w:val="decimal"/>
      <w:lvlText w:val="%1."/>
      <w:lvlJc w:val="left"/>
      <w:pPr>
        <w:tabs>
          <w:tab w:val="num" w:pos="786"/>
        </w:tabs>
        <w:ind w:left="786"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312A0"/>
    <w:multiLevelType w:val="multilevel"/>
    <w:tmpl w:val="694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C0300"/>
    <w:multiLevelType w:val="multilevel"/>
    <w:tmpl w:val="A95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C7633"/>
    <w:multiLevelType w:val="multilevel"/>
    <w:tmpl w:val="B8C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913D29"/>
    <w:multiLevelType w:val="multilevel"/>
    <w:tmpl w:val="3BB2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152F8"/>
    <w:multiLevelType w:val="multilevel"/>
    <w:tmpl w:val="8852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7417C"/>
    <w:multiLevelType w:val="multilevel"/>
    <w:tmpl w:val="013C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A2B25"/>
    <w:multiLevelType w:val="multilevel"/>
    <w:tmpl w:val="CC6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47BC6"/>
    <w:multiLevelType w:val="hybridMultilevel"/>
    <w:tmpl w:val="378C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5272AD"/>
    <w:multiLevelType w:val="multilevel"/>
    <w:tmpl w:val="677A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594583">
    <w:abstractNumId w:val="4"/>
  </w:num>
  <w:num w:numId="2" w16cid:durableId="790049568">
    <w:abstractNumId w:val="9"/>
  </w:num>
  <w:num w:numId="3" w16cid:durableId="1497114161">
    <w:abstractNumId w:val="2"/>
  </w:num>
  <w:num w:numId="4" w16cid:durableId="905528683">
    <w:abstractNumId w:val="11"/>
  </w:num>
  <w:num w:numId="5" w16cid:durableId="108746250">
    <w:abstractNumId w:val="3"/>
  </w:num>
  <w:num w:numId="6" w16cid:durableId="1084716503">
    <w:abstractNumId w:val="5"/>
  </w:num>
  <w:num w:numId="7" w16cid:durableId="1713917929">
    <w:abstractNumId w:val="8"/>
  </w:num>
  <w:num w:numId="8" w16cid:durableId="375084736">
    <w:abstractNumId w:val="10"/>
  </w:num>
  <w:num w:numId="9" w16cid:durableId="638920202">
    <w:abstractNumId w:val="12"/>
  </w:num>
  <w:num w:numId="10" w16cid:durableId="541282232">
    <w:abstractNumId w:val="13"/>
  </w:num>
  <w:num w:numId="11" w16cid:durableId="2123643843">
    <w:abstractNumId w:val="15"/>
  </w:num>
  <w:num w:numId="12" w16cid:durableId="1704674594">
    <w:abstractNumId w:val="6"/>
  </w:num>
  <w:num w:numId="13" w16cid:durableId="976836508">
    <w:abstractNumId w:val="16"/>
  </w:num>
  <w:num w:numId="14" w16cid:durableId="1726446898">
    <w:abstractNumId w:val="0"/>
  </w:num>
  <w:num w:numId="15" w16cid:durableId="1323460428">
    <w:abstractNumId w:val="14"/>
  </w:num>
  <w:num w:numId="16" w16cid:durableId="1181818893">
    <w:abstractNumId w:val="7"/>
  </w:num>
  <w:num w:numId="17" w16cid:durableId="135241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09"/>
    <w:rsid w:val="00036C12"/>
    <w:rsid w:val="00097D43"/>
    <w:rsid w:val="00156023"/>
    <w:rsid w:val="00191ECD"/>
    <w:rsid w:val="00291D9D"/>
    <w:rsid w:val="003750F6"/>
    <w:rsid w:val="00381318"/>
    <w:rsid w:val="00426A7C"/>
    <w:rsid w:val="0048238D"/>
    <w:rsid w:val="0053438F"/>
    <w:rsid w:val="005624ED"/>
    <w:rsid w:val="005D2E74"/>
    <w:rsid w:val="00744794"/>
    <w:rsid w:val="007A308F"/>
    <w:rsid w:val="00944A63"/>
    <w:rsid w:val="00A52515"/>
    <w:rsid w:val="00B26F4A"/>
    <w:rsid w:val="00C05AE8"/>
    <w:rsid w:val="00C53B86"/>
    <w:rsid w:val="00C63309"/>
    <w:rsid w:val="00CB39E9"/>
    <w:rsid w:val="00EA0BF2"/>
    <w:rsid w:val="00EF407A"/>
    <w:rsid w:val="00F31B2C"/>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1593"/>
  <w15:chartTrackingRefBased/>
  <w15:docId w15:val="{E8E10396-62FB-B248-B8BB-9DE89310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330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6330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6330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0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6330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63309"/>
    <w:rPr>
      <w:rFonts w:ascii="Times New Roman" w:eastAsia="Times New Roman" w:hAnsi="Times New Roman" w:cs="Times New Roman"/>
      <w:b/>
      <w:bCs/>
      <w:sz w:val="27"/>
      <w:szCs w:val="27"/>
      <w:lang w:eastAsia="en-GB"/>
    </w:rPr>
  </w:style>
  <w:style w:type="paragraph" w:customStyle="1" w:styleId="p1">
    <w:name w:val="p1"/>
    <w:basedOn w:val="Normal"/>
    <w:rsid w:val="00C63309"/>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C63309"/>
  </w:style>
  <w:style w:type="paragraph" w:customStyle="1" w:styleId="p2">
    <w:name w:val="p2"/>
    <w:basedOn w:val="Normal"/>
    <w:rsid w:val="00C63309"/>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C63309"/>
  </w:style>
  <w:style w:type="paragraph" w:customStyle="1" w:styleId="p3">
    <w:name w:val="p3"/>
    <w:basedOn w:val="Normal"/>
    <w:rsid w:val="00C63309"/>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C63309"/>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D2E7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D2E74"/>
    <w:rPr>
      <w:b/>
      <w:bCs/>
    </w:rPr>
  </w:style>
  <w:style w:type="character" w:customStyle="1" w:styleId="apple-converted-space">
    <w:name w:val="apple-converted-space"/>
    <w:basedOn w:val="DefaultParagraphFont"/>
    <w:rsid w:val="005D2E74"/>
  </w:style>
  <w:style w:type="character" w:styleId="Emphasis">
    <w:name w:val="Emphasis"/>
    <w:basedOn w:val="DefaultParagraphFont"/>
    <w:uiPriority w:val="20"/>
    <w:qFormat/>
    <w:rsid w:val="005D2E74"/>
    <w:rPr>
      <w:i/>
      <w:iCs/>
    </w:rPr>
  </w:style>
  <w:style w:type="paragraph" w:styleId="ListParagraph">
    <w:name w:val="List Paragraph"/>
    <w:basedOn w:val="Normal"/>
    <w:uiPriority w:val="34"/>
    <w:qFormat/>
    <w:rsid w:val="00191ECD"/>
    <w:pPr>
      <w:ind w:left="720"/>
      <w:contextualSpacing/>
    </w:pPr>
  </w:style>
  <w:style w:type="character" w:styleId="Hyperlink">
    <w:name w:val="Hyperlink"/>
    <w:basedOn w:val="DefaultParagraphFont"/>
    <w:uiPriority w:val="99"/>
    <w:unhideWhenUsed/>
    <w:rsid w:val="00A52515"/>
    <w:rPr>
      <w:color w:val="0563C1" w:themeColor="hyperlink"/>
      <w:u w:val="single"/>
    </w:rPr>
  </w:style>
  <w:style w:type="character" w:styleId="UnresolvedMention">
    <w:name w:val="Unresolved Mention"/>
    <w:basedOn w:val="DefaultParagraphFont"/>
    <w:uiPriority w:val="99"/>
    <w:semiHidden/>
    <w:unhideWhenUsed/>
    <w:rsid w:val="00A52515"/>
    <w:rPr>
      <w:color w:val="605E5C"/>
      <w:shd w:val="clear" w:color="auto" w:fill="E1DFDD"/>
    </w:rPr>
  </w:style>
  <w:style w:type="character" w:styleId="FollowedHyperlink">
    <w:name w:val="FollowedHyperlink"/>
    <w:basedOn w:val="DefaultParagraphFont"/>
    <w:uiPriority w:val="99"/>
    <w:semiHidden/>
    <w:unhideWhenUsed/>
    <w:rsid w:val="00A52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008">
      <w:bodyDiv w:val="1"/>
      <w:marLeft w:val="0"/>
      <w:marRight w:val="0"/>
      <w:marTop w:val="0"/>
      <w:marBottom w:val="0"/>
      <w:divBdr>
        <w:top w:val="none" w:sz="0" w:space="0" w:color="auto"/>
        <w:left w:val="none" w:sz="0" w:space="0" w:color="auto"/>
        <w:bottom w:val="none" w:sz="0" w:space="0" w:color="auto"/>
        <w:right w:val="none" w:sz="0" w:space="0" w:color="auto"/>
      </w:divBdr>
    </w:div>
    <w:div w:id="75829329">
      <w:bodyDiv w:val="1"/>
      <w:marLeft w:val="0"/>
      <w:marRight w:val="0"/>
      <w:marTop w:val="0"/>
      <w:marBottom w:val="0"/>
      <w:divBdr>
        <w:top w:val="none" w:sz="0" w:space="0" w:color="auto"/>
        <w:left w:val="none" w:sz="0" w:space="0" w:color="auto"/>
        <w:bottom w:val="none" w:sz="0" w:space="0" w:color="auto"/>
        <w:right w:val="none" w:sz="0" w:space="0" w:color="auto"/>
      </w:divBdr>
      <w:divsChild>
        <w:div w:id="699626684">
          <w:marLeft w:val="0"/>
          <w:marRight w:val="0"/>
          <w:marTop w:val="0"/>
          <w:marBottom w:val="0"/>
          <w:divBdr>
            <w:top w:val="none" w:sz="0" w:space="0" w:color="auto"/>
            <w:left w:val="none" w:sz="0" w:space="0" w:color="auto"/>
            <w:bottom w:val="none" w:sz="0" w:space="0" w:color="auto"/>
            <w:right w:val="none" w:sz="0" w:space="0" w:color="auto"/>
          </w:divBdr>
        </w:div>
        <w:div w:id="1920941254">
          <w:marLeft w:val="0"/>
          <w:marRight w:val="0"/>
          <w:marTop w:val="0"/>
          <w:marBottom w:val="0"/>
          <w:divBdr>
            <w:top w:val="none" w:sz="0" w:space="0" w:color="auto"/>
            <w:left w:val="none" w:sz="0" w:space="0" w:color="auto"/>
            <w:bottom w:val="none" w:sz="0" w:space="0" w:color="auto"/>
            <w:right w:val="none" w:sz="0" w:space="0" w:color="auto"/>
          </w:divBdr>
        </w:div>
        <w:div w:id="415445844">
          <w:marLeft w:val="0"/>
          <w:marRight w:val="0"/>
          <w:marTop w:val="0"/>
          <w:marBottom w:val="0"/>
          <w:divBdr>
            <w:top w:val="none" w:sz="0" w:space="0" w:color="auto"/>
            <w:left w:val="none" w:sz="0" w:space="0" w:color="auto"/>
            <w:bottom w:val="none" w:sz="0" w:space="0" w:color="auto"/>
            <w:right w:val="none" w:sz="0" w:space="0" w:color="auto"/>
          </w:divBdr>
        </w:div>
      </w:divsChild>
    </w:div>
    <w:div w:id="113984314">
      <w:bodyDiv w:val="1"/>
      <w:marLeft w:val="0"/>
      <w:marRight w:val="0"/>
      <w:marTop w:val="0"/>
      <w:marBottom w:val="0"/>
      <w:divBdr>
        <w:top w:val="none" w:sz="0" w:space="0" w:color="auto"/>
        <w:left w:val="none" w:sz="0" w:space="0" w:color="auto"/>
        <w:bottom w:val="none" w:sz="0" w:space="0" w:color="auto"/>
        <w:right w:val="none" w:sz="0" w:space="0" w:color="auto"/>
      </w:divBdr>
    </w:div>
    <w:div w:id="117262832">
      <w:bodyDiv w:val="1"/>
      <w:marLeft w:val="0"/>
      <w:marRight w:val="0"/>
      <w:marTop w:val="0"/>
      <w:marBottom w:val="0"/>
      <w:divBdr>
        <w:top w:val="none" w:sz="0" w:space="0" w:color="auto"/>
        <w:left w:val="none" w:sz="0" w:space="0" w:color="auto"/>
        <w:bottom w:val="none" w:sz="0" w:space="0" w:color="auto"/>
        <w:right w:val="none" w:sz="0" w:space="0" w:color="auto"/>
      </w:divBdr>
    </w:div>
    <w:div w:id="182941840">
      <w:bodyDiv w:val="1"/>
      <w:marLeft w:val="0"/>
      <w:marRight w:val="0"/>
      <w:marTop w:val="0"/>
      <w:marBottom w:val="0"/>
      <w:divBdr>
        <w:top w:val="none" w:sz="0" w:space="0" w:color="auto"/>
        <w:left w:val="none" w:sz="0" w:space="0" w:color="auto"/>
        <w:bottom w:val="none" w:sz="0" w:space="0" w:color="auto"/>
        <w:right w:val="none" w:sz="0" w:space="0" w:color="auto"/>
      </w:divBdr>
    </w:div>
    <w:div w:id="212037183">
      <w:bodyDiv w:val="1"/>
      <w:marLeft w:val="0"/>
      <w:marRight w:val="0"/>
      <w:marTop w:val="0"/>
      <w:marBottom w:val="0"/>
      <w:divBdr>
        <w:top w:val="none" w:sz="0" w:space="0" w:color="auto"/>
        <w:left w:val="none" w:sz="0" w:space="0" w:color="auto"/>
        <w:bottom w:val="none" w:sz="0" w:space="0" w:color="auto"/>
        <w:right w:val="none" w:sz="0" w:space="0" w:color="auto"/>
      </w:divBdr>
    </w:div>
    <w:div w:id="260384367">
      <w:bodyDiv w:val="1"/>
      <w:marLeft w:val="0"/>
      <w:marRight w:val="0"/>
      <w:marTop w:val="0"/>
      <w:marBottom w:val="0"/>
      <w:divBdr>
        <w:top w:val="none" w:sz="0" w:space="0" w:color="auto"/>
        <w:left w:val="none" w:sz="0" w:space="0" w:color="auto"/>
        <w:bottom w:val="none" w:sz="0" w:space="0" w:color="auto"/>
        <w:right w:val="none" w:sz="0" w:space="0" w:color="auto"/>
      </w:divBdr>
    </w:div>
    <w:div w:id="346102611">
      <w:bodyDiv w:val="1"/>
      <w:marLeft w:val="0"/>
      <w:marRight w:val="0"/>
      <w:marTop w:val="0"/>
      <w:marBottom w:val="0"/>
      <w:divBdr>
        <w:top w:val="none" w:sz="0" w:space="0" w:color="auto"/>
        <w:left w:val="none" w:sz="0" w:space="0" w:color="auto"/>
        <w:bottom w:val="none" w:sz="0" w:space="0" w:color="auto"/>
        <w:right w:val="none" w:sz="0" w:space="0" w:color="auto"/>
      </w:divBdr>
    </w:div>
    <w:div w:id="450587899">
      <w:bodyDiv w:val="1"/>
      <w:marLeft w:val="0"/>
      <w:marRight w:val="0"/>
      <w:marTop w:val="0"/>
      <w:marBottom w:val="0"/>
      <w:divBdr>
        <w:top w:val="none" w:sz="0" w:space="0" w:color="auto"/>
        <w:left w:val="none" w:sz="0" w:space="0" w:color="auto"/>
        <w:bottom w:val="none" w:sz="0" w:space="0" w:color="auto"/>
        <w:right w:val="none" w:sz="0" w:space="0" w:color="auto"/>
      </w:divBdr>
    </w:div>
    <w:div w:id="499271055">
      <w:bodyDiv w:val="1"/>
      <w:marLeft w:val="0"/>
      <w:marRight w:val="0"/>
      <w:marTop w:val="0"/>
      <w:marBottom w:val="0"/>
      <w:divBdr>
        <w:top w:val="none" w:sz="0" w:space="0" w:color="auto"/>
        <w:left w:val="none" w:sz="0" w:space="0" w:color="auto"/>
        <w:bottom w:val="none" w:sz="0" w:space="0" w:color="auto"/>
        <w:right w:val="none" w:sz="0" w:space="0" w:color="auto"/>
      </w:divBdr>
    </w:div>
    <w:div w:id="641467270">
      <w:bodyDiv w:val="1"/>
      <w:marLeft w:val="0"/>
      <w:marRight w:val="0"/>
      <w:marTop w:val="0"/>
      <w:marBottom w:val="0"/>
      <w:divBdr>
        <w:top w:val="none" w:sz="0" w:space="0" w:color="auto"/>
        <w:left w:val="none" w:sz="0" w:space="0" w:color="auto"/>
        <w:bottom w:val="none" w:sz="0" w:space="0" w:color="auto"/>
        <w:right w:val="none" w:sz="0" w:space="0" w:color="auto"/>
      </w:divBdr>
      <w:divsChild>
        <w:div w:id="1558977836">
          <w:blockQuote w:val="1"/>
          <w:marLeft w:val="225"/>
          <w:marRight w:val="0"/>
          <w:marTop w:val="0"/>
          <w:marBottom w:val="0"/>
          <w:divBdr>
            <w:top w:val="none" w:sz="0" w:space="0" w:color="auto"/>
            <w:left w:val="none" w:sz="0" w:space="0" w:color="auto"/>
            <w:bottom w:val="none" w:sz="0" w:space="0" w:color="auto"/>
            <w:right w:val="none" w:sz="0" w:space="0" w:color="auto"/>
          </w:divBdr>
        </w:div>
        <w:div w:id="1756172115">
          <w:blockQuote w:val="1"/>
          <w:marLeft w:val="225"/>
          <w:marRight w:val="0"/>
          <w:marTop w:val="0"/>
          <w:marBottom w:val="0"/>
          <w:divBdr>
            <w:top w:val="none" w:sz="0" w:space="0" w:color="auto"/>
            <w:left w:val="none" w:sz="0" w:space="0" w:color="auto"/>
            <w:bottom w:val="none" w:sz="0" w:space="0" w:color="auto"/>
            <w:right w:val="none" w:sz="0" w:space="0" w:color="auto"/>
          </w:divBdr>
        </w:div>
        <w:div w:id="2026469443">
          <w:blockQuote w:val="1"/>
          <w:marLeft w:val="225"/>
          <w:marRight w:val="0"/>
          <w:marTop w:val="0"/>
          <w:marBottom w:val="0"/>
          <w:divBdr>
            <w:top w:val="none" w:sz="0" w:space="0" w:color="auto"/>
            <w:left w:val="none" w:sz="0" w:space="0" w:color="auto"/>
            <w:bottom w:val="none" w:sz="0" w:space="0" w:color="auto"/>
            <w:right w:val="none" w:sz="0" w:space="0" w:color="auto"/>
          </w:divBdr>
        </w:div>
        <w:div w:id="10943266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0467848">
      <w:bodyDiv w:val="1"/>
      <w:marLeft w:val="0"/>
      <w:marRight w:val="0"/>
      <w:marTop w:val="0"/>
      <w:marBottom w:val="0"/>
      <w:divBdr>
        <w:top w:val="none" w:sz="0" w:space="0" w:color="auto"/>
        <w:left w:val="none" w:sz="0" w:space="0" w:color="auto"/>
        <w:bottom w:val="none" w:sz="0" w:space="0" w:color="auto"/>
        <w:right w:val="none" w:sz="0" w:space="0" w:color="auto"/>
      </w:divBdr>
    </w:div>
    <w:div w:id="745565776">
      <w:bodyDiv w:val="1"/>
      <w:marLeft w:val="0"/>
      <w:marRight w:val="0"/>
      <w:marTop w:val="0"/>
      <w:marBottom w:val="0"/>
      <w:divBdr>
        <w:top w:val="none" w:sz="0" w:space="0" w:color="auto"/>
        <w:left w:val="none" w:sz="0" w:space="0" w:color="auto"/>
        <w:bottom w:val="none" w:sz="0" w:space="0" w:color="auto"/>
        <w:right w:val="none" w:sz="0" w:space="0" w:color="auto"/>
      </w:divBdr>
    </w:div>
    <w:div w:id="749546354">
      <w:bodyDiv w:val="1"/>
      <w:marLeft w:val="0"/>
      <w:marRight w:val="0"/>
      <w:marTop w:val="0"/>
      <w:marBottom w:val="0"/>
      <w:divBdr>
        <w:top w:val="none" w:sz="0" w:space="0" w:color="auto"/>
        <w:left w:val="none" w:sz="0" w:space="0" w:color="auto"/>
        <w:bottom w:val="none" w:sz="0" w:space="0" w:color="auto"/>
        <w:right w:val="none" w:sz="0" w:space="0" w:color="auto"/>
      </w:divBdr>
    </w:div>
    <w:div w:id="750005528">
      <w:bodyDiv w:val="1"/>
      <w:marLeft w:val="0"/>
      <w:marRight w:val="0"/>
      <w:marTop w:val="0"/>
      <w:marBottom w:val="0"/>
      <w:divBdr>
        <w:top w:val="none" w:sz="0" w:space="0" w:color="auto"/>
        <w:left w:val="none" w:sz="0" w:space="0" w:color="auto"/>
        <w:bottom w:val="none" w:sz="0" w:space="0" w:color="auto"/>
        <w:right w:val="none" w:sz="0" w:space="0" w:color="auto"/>
      </w:divBdr>
    </w:div>
    <w:div w:id="790171933">
      <w:bodyDiv w:val="1"/>
      <w:marLeft w:val="0"/>
      <w:marRight w:val="0"/>
      <w:marTop w:val="0"/>
      <w:marBottom w:val="0"/>
      <w:divBdr>
        <w:top w:val="none" w:sz="0" w:space="0" w:color="auto"/>
        <w:left w:val="none" w:sz="0" w:space="0" w:color="auto"/>
        <w:bottom w:val="none" w:sz="0" w:space="0" w:color="auto"/>
        <w:right w:val="none" w:sz="0" w:space="0" w:color="auto"/>
      </w:divBdr>
      <w:divsChild>
        <w:div w:id="250814800">
          <w:blockQuote w:val="1"/>
          <w:marLeft w:val="225"/>
          <w:marRight w:val="0"/>
          <w:marTop w:val="0"/>
          <w:marBottom w:val="0"/>
          <w:divBdr>
            <w:top w:val="none" w:sz="0" w:space="0" w:color="auto"/>
            <w:left w:val="none" w:sz="0" w:space="0" w:color="auto"/>
            <w:bottom w:val="none" w:sz="0" w:space="0" w:color="auto"/>
            <w:right w:val="none" w:sz="0" w:space="0" w:color="auto"/>
          </w:divBdr>
        </w:div>
        <w:div w:id="463430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2992740">
      <w:bodyDiv w:val="1"/>
      <w:marLeft w:val="0"/>
      <w:marRight w:val="0"/>
      <w:marTop w:val="0"/>
      <w:marBottom w:val="0"/>
      <w:divBdr>
        <w:top w:val="none" w:sz="0" w:space="0" w:color="auto"/>
        <w:left w:val="none" w:sz="0" w:space="0" w:color="auto"/>
        <w:bottom w:val="none" w:sz="0" w:space="0" w:color="auto"/>
        <w:right w:val="none" w:sz="0" w:space="0" w:color="auto"/>
      </w:divBdr>
    </w:div>
    <w:div w:id="1105882549">
      <w:bodyDiv w:val="1"/>
      <w:marLeft w:val="0"/>
      <w:marRight w:val="0"/>
      <w:marTop w:val="0"/>
      <w:marBottom w:val="0"/>
      <w:divBdr>
        <w:top w:val="none" w:sz="0" w:space="0" w:color="auto"/>
        <w:left w:val="none" w:sz="0" w:space="0" w:color="auto"/>
        <w:bottom w:val="none" w:sz="0" w:space="0" w:color="auto"/>
        <w:right w:val="none" w:sz="0" w:space="0" w:color="auto"/>
      </w:divBdr>
    </w:div>
    <w:div w:id="1202548608">
      <w:bodyDiv w:val="1"/>
      <w:marLeft w:val="0"/>
      <w:marRight w:val="0"/>
      <w:marTop w:val="0"/>
      <w:marBottom w:val="0"/>
      <w:divBdr>
        <w:top w:val="none" w:sz="0" w:space="0" w:color="auto"/>
        <w:left w:val="none" w:sz="0" w:space="0" w:color="auto"/>
        <w:bottom w:val="none" w:sz="0" w:space="0" w:color="auto"/>
        <w:right w:val="none" w:sz="0" w:space="0" w:color="auto"/>
      </w:divBdr>
      <w:divsChild>
        <w:div w:id="1548763226">
          <w:blockQuote w:val="1"/>
          <w:marLeft w:val="225"/>
          <w:marRight w:val="0"/>
          <w:marTop w:val="0"/>
          <w:marBottom w:val="0"/>
          <w:divBdr>
            <w:top w:val="none" w:sz="0" w:space="0" w:color="auto"/>
            <w:left w:val="none" w:sz="0" w:space="0" w:color="auto"/>
            <w:bottom w:val="none" w:sz="0" w:space="0" w:color="auto"/>
            <w:right w:val="none" w:sz="0" w:space="0" w:color="auto"/>
          </w:divBdr>
        </w:div>
        <w:div w:id="957568201">
          <w:blockQuote w:val="1"/>
          <w:marLeft w:val="225"/>
          <w:marRight w:val="0"/>
          <w:marTop w:val="0"/>
          <w:marBottom w:val="0"/>
          <w:divBdr>
            <w:top w:val="none" w:sz="0" w:space="0" w:color="auto"/>
            <w:left w:val="none" w:sz="0" w:space="0" w:color="auto"/>
            <w:bottom w:val="none" w:sz="0" w:space="0" w:color="auto"/>
            <w:right w:val="none" w:sz="0" w:space="0" w:color="auto"/>
          </w:divBdr>
        </w:div>
        <w:div w:id="1183780234">
          <w:blockQuote w:val="1"/>
          <w:marLeft w:val="225"/>
          <w:marRight w:val="0"/>
          <w:marTop w:val="0"/>
          <w:marBottom w:val="0"/>
          <w:divBdr>
            <w:top w:val="none" w:sz="0" w:space="0" w:color="auto"/>
            <w:left w:val="none" w:sz="0" w:space="0" w:color="auto"/>
            <w:bottom w:val="none" w:sz="0" w:space="0" w:color="auto"/>
            <w:right w:val="none" w:sz="0" w:space="0" w:color="auto"/>
          </w:divBdr>
        </w:div>
        <w:div w:id="1788963529">
          <w:blockQuote w:val="1"/>
          <w:marLeft w:val="225"/>
          <w:marRight w:val="0"/>
          <w:marTop w:val="0"/>
          <w:marBottom w:val="0"/>
          <w:divBdr>
            <w:top w:val="none" w:sz="0" w:space="0" w:color="auto"/>
            <w:left w:val="none" w:sz="0" w:space="0" w:color="auto"/>
            <w:bottom w:val="none" w:sz="0" w:space="0" w:color="auto"/>
            <w:right w:val="none" w:sz="0" w:space="0" w:color="auto"/>
          </w:divBdr>
        </w:div>
        <w:div w:id="1299915860">
          <w:blockQuote w:val="1"/>
          <w:marLeft w:val="225"/>
          <w:marRight w:val="0"/>
          <w:marTop w:val="0"/>
          <w:marBottom w:val="0"/>
          <w:divBdr>
            <w:top w:val="none" w:sz="0" w:space="0" w:color="auto"/>
            <w:left w:val="none" w:sz="0" w:space="0" w:color="auto"/>
            <w:bottom w:val="none" w:sz="0" w:space="0" w:color="auto"/>
            <w:right w:val="none" w:sz="0" w:space="0" w:color="auto"/>
          </w:divBdr>
        </w:div>
        <w:div w:id="13056934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6670503">
      <w:bodyDiv w:val="1"/>
      <w:marLeft w:val="0"/>
      <w:marRight w:val="0"/>
      <w:marTop w:val="0"/>
      <w:marBottom w:val="0"/>
      <w:divBdr>
        <w:top w:val="none" w:sz="0" w:space="0" w:color="auto"/>
        <w:left w:val="none" w:sz="0" w:space="0" w:color="auto"/>
        <w:bottom w:val="none" w:sz="0" w:space="0" w:color="auto"/>
        <w:right w:val="none" w:sz="0" w:space="0" w:color="auto"/>
      </w:divBdr>
    </w:div>
    <w:div w:id="1244681275">
      <w:bodyDiv w:val="1"/>
      <w:marLeft w:val="0"/>
      <w:marRight w:val="0"/>
      <w:marTop w:val="0"/>
      <w:marBottom w:val="0"/>
      <w:divBdr>
        <w:top w:val="none" w:sz="0" w:space="0" w:color="auto"/>
        <w:left w:val="none" w:sz="0" w:space="0" w:color="auto"/>
        <w:bottom w:val="none" w:sz="0" w:space="0" w:color="auto"/>
        <w:right w:val="none" w:sz="0" w:space="0" w:color="auto"/>
      </w:divBdr>
      <w:divsChild>
        <w:div w:id="56444168">
          <w:blockQuote w:val="1"/>
          <w:marLeft w:val="225"/>
          <w:marRight w:val="0"/>
          <w:marTop w:val="0"/>
          <w:marBottom w:val="0"/>
          <w:divBdr>
            <w:top w:val="none" w:sz="0" w:space="0" w:color="auto"/>
            <w:left w:val="none" w:sz="0" w:space="0" w:color="auto"/>
            <w:bottom w:val="none" w:sz="0" w:space="0" w:color="auto"/>
            <w:right w:val="none" w:sz="0" w:space="0" w:color="auto"/>
          </w:divBdr>
        </w:div>
        <w:div w:id="5118468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8338707">
      <w:bodyDiv w:val="1"/>
      <w:marLeft w:val="0"/>
      <w:marRight w:val="0"/>
      <w:marTop w:val="0"/>
      <w:marBottom w:val="0"/>
      <w:divBdr>
        <w:top w:val="none" w:sz="0" w:space="0" w:color="auto"/>
        <w:left w:val="none" w:sz="0" w:space="0" w:color="auto"/>
        <w:bottom w:val="none" w:sz="0" w:space="0" w:color="auto"/>
        <w:right w:val="none" w:sz="0" w:space="0" w:color="auto"/>
      </w:divBdr>
    </w:div>
    <w:div w:id="1378359810">
      <w:bodyDiv w:val="1"/>
      <w:marLeft w:val="0"/>
      <w:marRight w:val="0"/>
      <w:marTop w:val="0"/>
      <w:marBottom w:val="0"/>
      <w:divBdr>
        <w:top w:val="none" w:sz="0" w:space="0" w:color="auto"/>
        <w:left w:val="none" w:sz="0" w:space="0" w:color="auto"/>
        <w:bottom w:val="none" w:sz="0" w:space="0" w:color="auto"/>
        <w:right w:val="none" w:sz="0" w:space="0" w:color="auto"/>
      </w:divBdr>
    </w:div>
    <w:div w:id="1549028590">
      <w:bodyDiv w:val="1"/>
      <w:marLeft w:val="0"/>
      <w:marRight w:val="0"/>
      <w:marTop w:val="0"/>
      <w:marBottom w:val="0"/>
      <w:divBdr>
        <w:top w:val="none" w:sz="0" w:space="0" w:color="auto"/>
        <w:left w:val="none" w:sz="0" w:space="0" w:color="auto"/>
        <w:bottom w:val="none" w:sz="0" w:space="0" w:color="auto"/>
        <w:right w:val="none" w:sz="0" w:space="0" w:color="auto"/>
      </w:divBdr>
    </w:div>
    <w:div w:id="1597516016">
      <w:bodyDiv w:val="1"/>
      <w:marLeft w:val="0"/>
      <w:marRight w:val="0"/>
      <w:marTop w:val="0"/>
      <w:marBottom w:val="0"/>
      <w:divBdr>
        <w:top w:val="none" w:sz="0" w:space="0" w:color="auto"/>
        <w:left w:val="none" w:sz="0" w:space="0" w:color="auto"/>
        <w:bottom w:val="none" w:sz="0" w:space="0" w:color="auto"/>
        <w:right w:val="none" w:sz="0" w:space="0" w:color="auto"/>
      </w:divBdr>
      <w:divsChild>
        <w:div w:id="987050219">
          <w:marLeft w:val="0"/>
          <w:marRight w:val="0"/>
          <w:marTop w:val="0"/>
          <w:marBottom w:val="0"/>
          <w:divBdr>
            <w:top w:val="none" w:sz="0" w:space="0" w:color="auto"/>
            <w:left w:val="none" w:sz="0" w:space="0" w:color="auto"/>
            <w:bottom w:val="none" w:sz="0" w:space="0" w:color="auto"/>
            <w:right w:val="none" w:sz="0" w:space="0" w:color="auto"/>
          </w:divBdr>
        </w:div>
        <w:div w:id="824976990">
          <w:marLeft w:val="0"/>
          <w:marRight w:val="0"/>
          <w:marTop w:val="0"/>
          <w:marBottom w:val="0"/>
          <w:divBdr>
            <w:top w:val="none" w:sz="0" w:space="0" w:color="auto"/>
            <w:left w:val="none" w:sz="0" w:space="0" w:color="auto"/>
            <w:bottom w:val="none" w:sz="0" w:space="0" w:color="auto"/>
            <w:right w:val="none" w:sz="0" w:space="0" w:color="auto"/>
          </w:divBdr>
        </w:div>
      </w:divsChild>
    </w:div>
    <w:div w:id="1617642680">
      <w:bodyDiv w:val="1"/>
      <w:marLeft w:val="0"/>
      <w:marRight w:val="0"/>
      <w:marTop w:val="0"/>
      <w:marBottom w:val="0"/>
      <w:divBdr>
        <w:top w:val="none" w:sz="0" w:space="0" w:color="auto"/>
        <w:left w:val="none" w:sz="0" w:space="0" w:color="auto"/>
        <w:bottom w:val="none" w:sz="0" w:space="0" w:color="auto"/>
        <w:right w:val="none" w:sz="0" w:space="0" w:color="auto"/>
      </w:divBdr>
    </w:div>
    <w:div w:id="1723022851">
      <w:bodyDiv w:val="1"/>
      <w:marLeft w:val="0"/>
      <w:marRight w:val="0"/>
      <w:marTop w:val="0"/>
      <w:marBottom w:val="0"/>
      <w:divBdr>
        <w:top w:val="none" w:sz="0" w:space="0" w:color="auto"/>
        <w:left w:val="none" w:sz="0" w:space="0" w:color="auto"/>
        <w:bottom w:val="none" w:sz="0" w:space="0" w:color="auto"/>
        <w:right w:val="none" w:sz="0" w:space="0" w:color="auto"/>
      </w:divBdr>
    </w:div>
    <w:div w:id="1731809407">
      <w:bodyDiv w:val="1"/>
      <w:marLeft w:val="0"/>
      <w:marRight w:val="0"/>
      <w:marTop w:val="0"/>
      <w:marBottom w:val="0"/>
      <w:divBdr>
        <w:top w:val="none" w:sz="0" w:space="0" w:color="auto"/>
        <w:left w:val="none" w:sz="0" w:space="0" w:color="auto"/>
        <w:bottom w:val="none" w:sz="0" w:space="0" w:color="auto"/>
        <w:right w:val="none" w:sz="0" w:space="0" w:color="auto"/>
      </w:divBdr>
    </w:div>
    <w:div w:id="1754163672">
      <w:bodyDiv w:val="1"/>
      <w:marLeft w:val="0"/>
      <w:marRight w:val="0"/>
      <w:marTop w:val="0"/>
      <w:marBottom w:val="0"/>
      <w:divBdr>
        <w:top w:val="none" w:sz="0" w:space="0" w:color="auto"/>
        <w:left w:val="none" w:sz="0" w:space="0" w:color="auto"/>
        <w:bottom w:val="none" w:sz="0" w:space="0" w:color="auto"/>
        <w:right w:val="none" w:sz="0" w:space="0" w:color="auto"/>
      </w:divBdr>
    </w:div>
    <w:div w:id="1834027488">
      <w:bodyDiv w:val="1"/>
      <w:marLeft w:val="0"/>
      <w:marRight w:val="0"/>
      <w:marTop w:val="0"/>
      <w:marBottom w:val="0"/>
      <w:divBdr>
        <w:top w:val="none" w:sz="0" w:space="0" w:color="auto"/>
        <w:left w:val="none" w:sz="0" w:space="0" w:color="auto"/>
        <w:bottom w:val="none" w:sz="0" w:space="0" w:color="auto"/>
        <w:right w:val="none" w:sz="0" w:space="0" w:color="auto"/>
      </w:divBdr>
    </w:div>
    <w:div w:id="1835297423">
      <w:bodyDiv w:val="1"/>
      <w:marLeft w:val="0"/>
      <w:marRight w:val="0"/>
      <w:marTop w:val="0"/>
      <w:marBottom w:val="0"/>
      <w:divBdr>
        <w:top w:val="none" w:sz="0" w:space="0" w:color="auto"/>
        <w:left w:val="none" w:sz="0" w:space="0" w:color="auto"/>
        <w:bottom w:val="none" w:sz="0" w:space="0" w:color="auto"/>
        <w:right w:val="none" w:sz="0" w:space="0" w:color="auto"/>
      </w:divBdr>
    </w:div>
    <w:div w:id="1878929316">
      <w:bodyDiv w:val="1"/>
      <w:marLeft w:val="0"/>
      <w:marRight w:val="0"/>
      <w:marTop w:val="0"/>
      <w:marBottom w:val="0"/>
      <w:divBdr>
        <w:top w:val="none" w:sz="0" w:space="0" w:color="auto"/>
        <w:left w:val="none" w:sz="0" w:space="0" w:color="auto"/>
        <w:bottom w:val="none" w:sz="0" w:space="0" w:color="auto"/>
        <w:right w:val="none" w:sz="0" w:space="0" w:color="auto"/>
      </w:divBdr>
    </w:div>
    <w:div w:id="1954943632">
      <w:bodyDiv w:val="1"/>
      <w:marLeft w:val="0"/>
      <w:marRight w:val="0"/>
      <w:marTop w:val="0"/>
      <w:marBottom w:val="0"/>
      <w:divBdr>
        <w:top w:val="none" w:sz="0" w:space="0" w:color="auto"/>
        <w:left w:val="none" w:sz="0" w:space="0" w:color="auto"/>
        <w:bottom w:val="none" w:sz="0" w:space="0" w:color="auto"/>
        <w:right w:val="none" w:sz="0" w:space="0" w:color="auto"/>
      </w:divBdr>
    </w:div>
    <w:div w:id="1992174771">
      <w:bodyDiv w:val="1"/>
      <w:marLeft w:val="0"/>
      <w:marRight w:val="0"/>
      <w:marTop w:val="0"/>
      <w:marBottom w:val="0"/>
      <w:divBdr>
        <w:top w:val="none" w:sz="0" w:space="0" w:color="auto"/>
        <w:left w:val="none" w:sz="0" w:space="0" w:color="auto"/>
        <w:bottom w:val="none" w:sz="0" w:space="0" w:color="auto"/>
        <w:right w:val="none" w:sz="0" w:space="0" w:color="auto"/>
      </w:divBdr>
    </w:div>
    <w:div w:id="2027292279">
      <w:bodyDiv w:val="1"/>
      <w:marLeft w:val="0"/>
      <w:marRight w:val="0"/>
      <w:marTop w:val="0"/>
      <w:marBottom w:val="0"/>
      <w:divBdr>
        <w:top w:val="none" w:sz="0" w:space="0" w:color="auto"/>
        <w:left w:val="none" w:sz="0" w:space="0" w:color="auto"/>
        <w:bottom w:val="none" w:sz="0" w:space="0" w:color="auto"/>
        <w:right w:val="none" w:sz="0" w:space="0" w:color="auto"/>
      </w:divBdr>
    </w:div>
    <w:div w:id="2069645841">
      <w:bodyDiv w:val="1"/>
      <w:marLeft w:val="0"/>
      <w:marRight w:val="0"/>
      <w:marTop w:val="0"/>
      <w:marBottom w:val="0"/>
      <w:divBdr>
        <w:top w:val="none" w:sz="0" w:space="0" w:color="auto"/>
        <w:left w:val="none" w:sz="0" w:space="0" w:color="auto"/>
        <w:bottom w:val="none" w:sz="0" w:space="0" w:color="auto"/>
        <w:right w:val="none" w:sz="0" w:space="0" w:color="auto"/>
      </w:divBdr>
      <w:divsChild>
        <w:div w:id="19421040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555844">
      <w:bodyDiv w:val="1"/>
      <w:marLeft w:val="0"/>
      <w:marRight w:val="0"/>
      <w:marTop w:val="0"/>
      <w:marBottom w:val="0"/>
      <w:divBdr>
        <w:top w:val="none" w:sz="0" w:space="0" w:color="auto"/>
        <w:left w:val="none" w:sz="0" w:space="0" w:color="auto"/>
        <w:bottom w:val="none" w:sz="0" w:space="0" w:color="auto"/>
        <w:right w:val="none" w:sz="0" w:space="0" w:color="auto"/>
      </w:divBdr>
      <w:divsChild>
        <w:div w:id="13943528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18524451">
      <w:bodyDiv w:val="1"/>
      <w:marLeft w:val="0"/>
      <w:marRight w:val="0"/>
      <w:marTop w:val="0"/>
      <w:marBottom w:val="0"/>
      <w:divBdr>
        <w:top w:val="none" w:sz="0" w:space="0" w:color="auto"/>
        <w:left w:val="none" w:sz="0" w:space="0" w:color="auto"/>
        <w:bottom w:val="none" w:sz="0" w:space="0" w:color="auto"/>
        <w:right w:val="none" w:sz="0" w:space="0" w:color="auto"/>
      </w:divBdr>
    </w:div>
    <w:div w:id="21198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31061698.v3" TargetMode="External"/><Relationship Id="rId3" Type="http://schemas.openxmlformats.org/officeDocument/2006/relationships/settings" Target="settings.xml"/><Relationship Id="rId7" Type="http://schemas.openxmlformats.org/officeDocument/2006/relationships/hyperlink" Target="https://doi.org/10.17605/OSF.IO/25AJ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11" Type="http://schemas.openxmlformats.org/officeDocument/2006/relationships/theme" Target="theme/theme1.xml"/><Relationship Id="rId5" Type="http://schemas.openxmlformats.org/officeDocument/2006/relationships/hyperlink" Target="https://doi.org/10.6084/m9.figshare.3108143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6084/m9.figshare.3107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13</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2026-01-17T09:46:00Z</cp:lastPrinted>
  <dcterms:created xsi:type="dcterms:W3CDTF">2026-01-17T09:46:00Z</dcterms:created>
  <dcterms:modified xsi:type="dcterms:W3CDTF">2026-02-26T08:35:00Z</dcterms:modified>
</cp:coreProperties>
</file>