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494E" w14:textId="77777777" w:rsidR="00143D70" w:rsidRPr="00143D70" w:rsidRDefault="00143D70" w:rsidP="000D7608">
      <w:pPr>
        <w:ind w:firstLine="0"/>
        <w:jc w:val="center"/>
        <w:outlineLvl w:val="0"/>
        <w:rPr>
          <w:rFonts w:ascii="Times New Roman" w:eastAsia="Times New Roman" w:hAnsi="Times New Roman" w:cs="Times New Roman"/>
          <w:b/>
          <w:bCs/>
          <w:kern w:val="36"/>
          <w:sz w:val="28"/>
          <w:szCs w:val="28"/>
          <w:lang w:eastAsia="en-GB"/>
        </w:rPr>
      </w:pPr>
      <w:r>
        <w:rPr>
          <w:rFonts w:ascii="Times New Roman" w:eastAsia="Times New Roman" w:hAnsi="Times New Roman" w:cs="Times New Roman"/>
          <w:b/>
          <w:bCs/>
          <w:kern w:val="36"/>
          <w:sz w:val="28"/>
          <w:szCs w:val="28"/>
          <w:lang w:eastAsia="en-GB"/>
        </w:rPr>
        <w:t>Cognitive Foundations of Early Egyptian Civilization:</w:t>
      </w:r>
    </w:p>
    <w:p w14:paraId="63D2F207" w14:textId="77777777" w:rsidR="00143D70" w:rsidRPr="000D7608" w:rsidRDefault="00143D70" w:rsidP="000D7608">
      <w:pPr>
        <w:ind w:firstLine="0"/>
        <w:jc w:val="center"/>
        <w:outlineLvl w:val="0"/>
        <w:rPr>
          <w:rFonts w:ascii="Times New Roman" w:eastAsia="Times New Roman" w:hAnsi="Times New Roman" w:cs="Times New Roman"/>
          <w:b/>
          <w:bCs/>
          <w:kern w:val="36"/>
          <w:sz w:val="28"/>
          <w:szCs w:val="28"/>
          <w:lang w:eastAsia="en-GB"/>
        </w:rPr>
      </w:pPr>
      <w:r>
        <w:rPr>
          <w:rFonts w:ascii="Times New Roman" w:eastAsia="Times New Roman" w:hAnsi="Times New Roman" w:cs="Times New Roman"/>
          <w:b/>
          <w:bCs/>
          <w:sz w:val="28"/>
          <w:szCs w:val="28"/>
          <w:lang w:eastAsia="en-GB"/>
        </w:rPr>
        <w:t>Insights from the Deep Symbolic Systems Model (DSSM)</w:t>
      </w:r>
    </w:p>
    <w:p w14:paraId="2AC19529" w14:textId="021A626C" w:rsidR="000E494A" w:rsidRPr="000D7608" w:rsidRDefault="0023286E" w:rsidP="000D7608">
      <w:pPr>
        <w:ind w:firstLine="0"/>
        <w:jc w:val="center"/>
        <w:rPr>
          <w:rFonts w:ascii="Times New Roman" w:hAnsi="Times New Roman" w:cs="Times New Roman"/>
          <w:sz w:val="24"/>
          <w:szCs w:val="24"/>
        </w:rPr>
      </w:pPr>
      <w:r>
        <w:rPr>
          <w:b/>
          <w:rFonts w:ascii="Times New Roman" w:hAnsi="Times New Roman" w:cs="Times New Roman"/>
          <w:sz w:val="26"/>
          <w:szCs w:val="26"/>
        </w:rPr>
        <w:t>Anthony Vondoom</w:t>
      </w:r>
    </w:p>
    <w:p w14:paraId="5F83FF5D" w14:textId="3F39F1A6" w:rsidR="000E494A" w:rsidRPr="00CB4BA3" w:rsidRDefault="0023286E" w:rsidP="000D7608">
      <w:pPr>
        <w:ind w:firstLine="0"/>
        <w:jc w:val="center"/>
        <w:rPr>
          <w:rFonts w:ascii="Times New Roman" w:hAnsi="Times New Roman" w:cs="Times New Roman"/>
          <w:sz w:val="26"/>
          <w:szCs w:val="26"/>
        </w:rPr>
      </w:pPr>
      <w:r>
        <w:rPr>
          <w:rFonts w:ascii="Times New Roman" w:hAnsi="Times New Roman" w:cs="Times New Roman"/>
          <w:sz w:val="26"/>
          <w:szCs w:val="26"/>
        </w:rPr>
        <w:t xml:space="preserve">Independent Researcher | Cognitive Archaeology </w:t>
      </w:r>
    </w:p>
    <w:p w14:paraId="65E878D6" w14:textId="3729270A" w:rsidR="000E494A" w:rsidRPr="00CB4BA3" w:rsidRDefault="006C1C10" w:rsidP="000D7608">
      <w:pPr>
        <w:ind w:firstLine="0"/>
        <w:jc w:val="center"/>
        <w:rPr>
          <w:rFonts w:ascii="Times New Roman" w:hAnsi="Times New Roman" w:cs="Times New Roman"/>
          <w:sz w:val="26"/>
          <w:szCs w:val="26"/>
        </w:rPr>
      </w:pPr>
      <w:r>
        <w:rPr>
          <w:rFonts w:ascii="Times New Roman" w:hAnsi="Times New Roman" w:cs="Times New Roman"/>
          <w:sz w:val="26"/>
          <w:szCs w:val="26"/>
        </w:rPr>
        <w:t>anthony.vondoom@outlook.com</w:t>
      </w:r>
    </w:p>
    <w:p w14:paraId="227092B8" w14:textId="77777777" w:rsidR="00090BFB" w:rsidRDefault="00090BFB" w:rsidP="008A2B4C">
      <w:pPr>
        <w:rPr>
          <w:rFonts w:ascii="Times New Roman" w:hAnsi="Times New Roman" w:cs="Times New Roman"/>
          <w:sz w:val="24"/>
          <w:szCs w:val="24"/>
          <w:rtl/>
        </w:rPr>
      </w:pPr>
    </w:p>
    <w:p w14:paraId="732A9EE0" w14:textId="35F570C2" w:rsidR="00302951" w:rsidRPr="000D7608" w:rsidRDefault="0061511E" w:rsidP="000D7608">
      <w:pPr>
        <w:ind w:firstLine="0"/>
        <w:rPr>
          <w:rFonts w:ascii="Times New Roman" w:hAnsi="Times New Roman" w:cs="Times New Roman"/>
          <w:b/>
          <w:bCs/>
          <w:sz w:val="26"/>
          <w:szCs w:val="26"/>
        </w:rPr>
      </w:pPr>
      <w:r>
        <w:rPr>
          <w:rFonts w:ascii="Times New Roman" w:hAnsi="Times New Roman" w:cs="Times New Roman"/>
          <w:b/>
          <w:bCs/>
          <w:sz w:val="26"/>
          <w:szCs w:val="26"/>
        </w:rPr>
        <w:t xml:space="preserve">Abstract: </w:t>
      </w:r>
      <w:r>
        <w:rPr>
          <w:rFonts w:ascii="Times New Roman" w:hAnsi="Times New Roman" w:cs="Times New Roman"/>
          <w:sz w:val="24"/>
          <w:szCs w:val="24"/>
        </w:rPr>
        <w:t>This paper applies the Deep Symbolic Systems Model (DSSM) as a cognitive-archaeological framework for understanding the emergence of early Egyptian civilization (c. 7500–2500 BCE). DSSM’s theoretical novelty operates on three simultaneous planes. First, it specifies a falsifiable four-stage developmental sequence — embodied symbolic familiarity, ritualized repetition, material amplification, cognitive offloading — whose temporal ordering derives from independent neuroscientific evidence rather than from the archaeological record it is meant to explain. Second, it bridges neural consolidation timescales from laboratory neuroscience to archaeologically detectable windows of 100–1,500 years, connecting specific memory systems to Field Companion Protocol (FCP) observables. Third, it introduces a two-dimensional (2D) scoring instrument in which each observable is independently scored on Evidence Strength (E) and Symbolic Specificity (S) axes, with a minimum-rule combination (min(E, S)) that prevents evidence robustness from compensating for symbolic ambiguity. Egyptian period scores range from 4.5/12 (Badarian) to 12/12 (Old Kingdom), reflecting genuine evidential variance rather than circular confirmation. Three negative cases — Sub-Saharan Africa, prehistoric Australia, and Late Neolithic Europe — are analyzed as scope condition tests representing three distinct DSSM failure modes: Stage 3 absent through fragmentation, Stage 3 structurally absent, and Stage 3 partial with consequent delayed institutional emergence. All seven falsifiable predictions are evaluated against available evidence. Two additional potential counterexamples — Highland New Guinea (large-scale exchange above 500 individuals, no state formation) and Norte Chico (monuments without standardized portable media) — are addressed as scope condition tests. A pilot inter-rater reliability study (Cohen’s κ = 0.71 across two raters and thirty assemblages) provides an initial reliability estimate for the FCP, with full multi-rater validation identified as a priority empirical agenda.</w:t>
      </w:r>
    </w:p>
    <w:p w14:paraId="451DFD1F" w14:textId="77777777" w:rsidR="000E494A" w:rsidRDefault="000E494A" w:rsidP="000D7608">
      <w:pPr>
        <w:ind w:firstLine="0"/>
        <w:rPr>
          <w:rFonts w:ascii="Times New Roman" w:hAnsi="Times New Roman" w:cs="Times New Roman"/>
          <w:sz w:val="24"/>
          <w:szCs w:val="24"/>
        </w:rPr>
      </w:pPr>
      <w:r>
        <w:rPr>
          <w:rFonts w:ascii="Times New Roman" w:hAnsi="Times New Roman" w:cs="Times New Roman"/>
          <w:b/>
          <w:bCs/>
          <w:sz w:val="26"/>
          <w:szCs w:val="26"/>
        </w:rPr>
        <w:t>Keywords</w:t>
      </w:r>
      <w:r>
        <w:rPr>
          <w:rFonts w:ascii="Times New Roman" w:hAnsi="Times New Roman" w:cs="Times New Roman"/>
          <w:sz w:val="26"/>
          <w:szCs w:val="26"/>
        </w:rPr>
        <w:t>:</w:t>
      </w:r>
      <w:r>
        <w:rPr>
          <w:rFonts w:ascii="Times New Roman" w:hAnsi="Times New Roman" w:cs="Times New Roman"/>
          <w:sz w:val="24"/>
          <w:szCs w:val="24"/>
        </w:rPr>
        <w:t xml:space="preserve"> Cognitive Archaeology, Symbolic Stabilization, Predynastic Nile Valley, Cultural Memory, Cognitive Evolution</w:t>
      </w:r>
    </w:p>
    <w:p w14:paraId="6E09795C" w14:textId="77777777" w:rsidR="00F33020" w:rsidRPr="00F33020" w:rsidRDefault="00F33020" w:rsidP="008F7C3D">
      <w:pPr>
        <w:pageBreakBefore/>
        <w:suppressAutoHyphens/>
        <w:bidi/>
        <w:ind w:firstLine="0"/>
        <w:jc w:val="center"/>
        <w:rPr>
          <w:rFonts w:ascii="Simplified Arabic" w:eastAsia="Simplified Arabic" w:hAnsi="Simplified Arabic" w:cs="Simplified Arabic"/>
          <w:sz w:val="28"/>
          <w:szCs w:val="28"/>
          <w:rtl/>
          <w:lang w:eastAsia="zh-CN"/>
        </w:rPr>
      </w:pPr>
      <w:r>
        <w:rPr>
          <w:rFonts w:ascii="Simplified Arabic" w:eastAsia="Simplified Arabic" w:hAnsi="Simplified Arabic" w:cs="Simplified Arabic"/>
          <w:b/>
          <w:bCs/>
          <w:sz w:val="28"/>
          <w:szCs w:val="28"/>
          <w:rtl/>
          <w:lang w:eastAsia="zh-CN" w:bidi="hi-IN"/>
        </w:rPr>
        <w:t>الأسس المعرفية للحضارة المصرية المبكرة:</w:t>
      </w:r>
    </w:p>
    <w:p w14:paraId="7C81AB11" w14:textId="77777777" w:rsidR="00F33020" w:rsidRPr="00174B05" w:rsidRDefault="00F33020" w:rsidP="008F7C3D">
      <w:pPr>
        <w:suppressAutoHyphens/>
        <w:bidi/>
        <w:ind w:firstLine="0"/>
        <w:jc w:val="center"/>
        <w:rPr>
          <w:rFonts w:ascii="Simplified Arabic" w:eastAsia="Simplified Arabic" w:hAnsi="Simplified Arabic" w:cs="Simplified Arabic"/>
          <w:b/>
          <w:bCs/>
          <w:sz w:val="26"/>
          <w:szCs w:val="26"/>
          <w:rtl/>
          <w:lang w:eastAsia="zh-CN"/>
        </w:rPr>
      </w:pPr>
      <w:r>
        <w:rPr>
          <w:rFonts w:ascii="Simplified Arabic" w:eastAsia="Simplified Arabic" w:hAnsi="Simplified Arabic" w:cs="Simplified Arabic"/>
          <w:b/>
          <w:bCs/>
          <w:sz w:val="28"/>
          <w:szCs w:val="28"/>
          <w:rtl/>
          <w:lang w:eastAsia="zh-CN" w:bidi="hi-IN"/>
        </w:rPr>
        <w:t xml:space="preserve">رؤى من نموذج الأنظمة الرمزية العميقة </w:t>
      </w:r>
      <w:r>
        <w:rPr>
          <w:rFonts w:asciiTheme="majorBidi" w:eastAsia="Simplified Arabic" w:hAnsiTheme="majorBidi" w:cstheme="majorBidi"/>
          <w:b/>
          <w:bCs/>
          <w:sz w:val="28"/>
          <w:szCs w:val="28"/>
          <w:rtl/>
          <w:lang w:eastAsia="zh-CN" w:bidi="hi-IN"/>
        </w:rPr>
        <w:t>(</w:t>
      </w:r>
      <w:r>
        <w:rPr>
          <w:rFonts w:asciiTheme="majorBidi" w:eastAsia="Simplified Arabic" w:hAnsiTheme="majorBidi" w:cstheme="majorBidi"/>
          <w:b/>
          <w:bCs/>
          <w:sz w:val="28"/>
          <w:szCs w:val="28"/>
          <w:lang w:eastAsia="zh-CN" w:bidi="hi-IN"/>
        </w:rPr>
        <w:t>DSSM</w:t>
      </w:r>
      <w:r>
        <w:rPr>
          <w:rFonts w:asciiTheme="majorBidi" w:eastAsia="Simplified Arabic" w:hAnsiTheme="majorBidi" w:cstheme="majorBidi"/>
          <w:b/>
          <w:bCs/>
          <w:sz w:val="28"/>
          <w:szCs w:val="28"/>
          <w:rtl/>
          <w:lang w:eastAsia="zh-CN" w:bidi="hi-IN"/>
        </w:rPr>
        <w:t>)</w:t>
      </w:r>
    </w:p>
    <w:p w14:paraId="158C938E" w14:textId="77777777" w:rsidR="00F33020" w:rsidRPr="009C6ABF" w:rsidRDefault="00F33020" w:rsidP="008F7C3D">
      <w:pPr>
        <w:suppressAutoHyphens/>
        <w:bidi/>
        <w:ind w:firstLine="0"/>
        <w:jc w:val="center"/>
        <w:rPr>
          <w:rFonts w:ascii="Simplified Arabic" w:eastAsia="Simplified Arabic" w:hAnsi="Simplified Arabic" w:cs="Simplified Arabic"/>
          <w:sz w:val="26"/>
          <w:szCs w:val="26"/>
          <w:rtl/>
          <w:lang w:eastAsia="zh-CN"/>
        </w:rPr>
      </w:pPr>
      <w:r>
        <w:rPr>
          <w:rFonts w:ascii="Simplified Arabic" w:eastAsia="Simplified Arabic" w:hAnsi="Simplified Arabic" w:cs="Simplified Arabic"/>
          <w:b/>
          <w:bCs/>
          <w:sz w:val="26"/>
          <w:szCs w:val="26"/>
          <w:rtl/>
          <w:lang w:eastAsia="zh-CN" w:bidi="hi-IN"/>
        </w:rPr>
        <w:t>أنتوني فوندوم</w:t>
      </w:r>
    </w:p>
    <w:p w14:paraId="62B80FAC" w14:textId="11BEC7D0" w:rsidR="00F33020" w:rsidRPr="000D7608" w:rsidRDefault="00F33020" w:rsidP="008F7C3D">
      <w:pPr>
        <w:suppressAutoHyphens/>
        <w:bidi/>
        <w:ind w:firstLine="0"/>
        <w:jc w:val="center"/>
        <w:rPr>
          <w:rFonts w:ascii="Simplified Arabic" w:eastAsia="Simplified Arabic" w:hAnsi="Simplified Arabic" w:cs="Simplified Arabic"/>
          <w:sz w:val="26"/>
          <w:szCs w:val="26"/>
          <w:lang w:eastAsia="zh-CN" w:bidi="ar-EG"/>
        </w:rPr>
      </w:pPr>
      <w:r>
        <w:rPr>
          <w:rFonts w:ascii="Simplified Arabic" w:eastAsia="Simplified Arabic" w:hAnsi="Simplified Arabic" w:cs="Simplified Arabic"/>
          <w:sz w:val="26"/>
          <w:szCs w:val="26"/>
          <w:rtl/>
          <w:lang w:eastAsia="zh-CN" w:bidi="hi-IN"/>
        </w:rPr>
        <w:t>باحث مستقل، علم الآثار المعرفي</w:t>
      </w:r>
      <w:r>
        <w:rPr>
          <w:rFonts w:ascii="Simplified Arabic" w:eastAsia="Simplified Arabic" w:hAnsi="Simplified Arabic" w:cs="Simplified Arabic" w:hint="cs"/>
          <w:sz w:val="26"/>
          <w:szCs w:val="26"/>
          <w:rtl/>
          <w:lang w:eastAsia="zh-CN" w:bidi="ar-EG"/>
        </w:rPr>
        <w:t xml:space="preserve">، </w:t>
      </w:r>
      <w:r>
        <w:rPr>
          <w:rFonts w:ascii="Simplified Arabic" w:eastAsia="Simplified Arabic" w:hAnsi="Simplified Arabic" w:cs="Simplified Arabic"/>
          <w:sz w:val="26"/>
          <w:szCs w:val="26"/>
          <w:rtl/>
          <w:lang w:eastAsia="zh-CN" w:bidi="hi-IN"/>
        </w:rPr>
        <w:t>إيطاليا</w:t>
      </w:r>
    </w:p>
    <w:p w14:paraId="235C2494" w14:textId="77777777" w:rsidR="008F7C3D" w:rsidRPr="00CB4BA3" w:rsidRDefault="008F7C3D" w:rsidP="008F7C3D">
      <w:pPr>
        <w:ind w:firstLine="0"/>
        <w:jc w:val="center"/>
        <w:rPr>
          <w:rFonts w:ascii="Times New Roman" w:hAnsi="Times New Roman" w:cs="Times New Roman"/>
          <w:sz w:val="26"/>
          <w:szCs w:val="26"/>
        </w:rPr>
      </w:pPr>
      <w:r>
        <w:rPr>
          <w:rFonts w:ascii="Times New Roman" w:hAnsi="Times New Roman" w:cs="Times New Roman"/>
          <w:sz w:val="26"/>
          <w:szCs w:val="26"/>
        </w:rPr>
        <w:t>anthony.vondoom@outlook.com</w:t>
      </w:r>
    </w:p>
    <w:p w14:paraId="4309E9EA" w14:textId="77777777" w:rsidR="00F33020" w:rsidRPr="009C6ABF" w:rsidRDefault="00F33020" w:rsidP="00D23E33">
      <w:pPr>
        <w:suppressAutoHyphens/>
        <w:bidi/>
        <w:rPr>
          <w:rFonts w:ascii="Times New Roman" w:eastAsia="Noto Serif CJK SC" w:hAnsi="Times New Roman" w:cs="FreeSans"/>
          <w:sz w:val="26"/>
          <w:szCs w:val="26"/>
          <w:lang w:eastAsia="zh-CN" w:bidi="hi-IN"/>
        </w:rPr>
      </w:pPr>
    </w:p>
    <w:p w14:paraId="5B84AE69" w14:textId="6C27282E" w:rsidR="00D23E33" w:rsidRPr="00D51999" w:rsidRDefault="00D23E33" w:rsidP="00D51999">
      <w:pPr>
        <w:bidi/>
        <w:ind w:firstLine="0"/>
        <w:rPr>
          <w:rFonts w:ascii="Simplified Arabic" w:hAnsi="Simplified Arabic" w:cs="Simplified Arabic"/>
          <w:color w:val="000000" w:themeColor="text1"/>
          <w:sz w:val="24"/>
          <w:szCs w:val="24"/>
          <w:rtl/>
          <w:lang w:bidi="ar-EG"/>
        </w:rPr>
      </w:pPr>
      <w:r>
        <w:rPr>
          <w:rFonts w:ascii="Simplified Arabic" w:hAnsi="Simplified Arabic" w:cs="Simplified Arabic"/>
          <w:b/>
          <w:bCs/>
          <w:color w:val="000000" w:themeColor="text1"/>
          <w:sz w:val="26"/>
          <w:szCs w:val="26"/>
          <w:rtl/>
          <w:lang w:bidi="ar-EG"/>
        </w:rPr>
        <w:t>الملخّص</w:t>
      </w:r>
      <w:r>
        <w:rPr>
          <w:rFonts w:ascii="Simplified Arabic" w:hAnsi="Simplified Arabic" w:cs="Simplified Arabic"/>
          <w:b/>
          <w:bCs/>
          <w:color w:val="000000" w:themeColor="text1"/>
          <w:sz w:val="26"/>
          <w:szCs w:val="26"/>
          <w:lang w:bidi="ar-EG"/>
        </w:rPr>
        <w:t>:</w:t>
      </w:r>
      <w:r>
        <w:rPr>
          <w:rFonts w:ascii="Simplified Arabic" w:hAnsi="Simplified Arabic" w:cs="Simplified Arabic" w:hint="cs"/>
          <w:color w:val="000000" w:themeColor="text1"/>
          <w:sz w:val="24"/>
          <w:szCs w:val="24"/>
          <w:rtl/>
          <w:lang w:bidi="ar-EG"/>
        </w:rPr>
        <w:t xml:space="preserve"> </w:t>
      </w:r>
      <w:r>
        <w:rPr>
          <w:rFonts w:ascii="Simplified Arabic" w:hAnsi="Simplified Arabic" w:cs="Simplified Arabic"/>
          <w:color w:val="000000" w:themeColor="text1"/>
          <w:sz w:val="24"/>
          <w:szCs w:val="24"/>
          <w:rtl/>
          <w:lang w:bidi="ar-EG"/>
        </w:rPr>
        <w:t>تطبّق هذه الدراسة نموذج الأنظمة الرمزية العميقة</w:t>
      </w:r>
      <w:r>
        <w:rPr>
          <w:rFonts w:asciiTheme="majorBidi" w:hAnsiTheme="majorBidi" w:cstheme="majorBidi"/>
          <w:color w:val="000000" w:themeColor="text1"/>
          <w:sz w:val="24"/>
          <w:szCs w:val="24"/>
          <w:lang w:bidi="ar-EG"/>
        </w:rPr>
        <w:t xml:space="preserve"> (Deep Symbolic Systems Model – DSSM)</w:t>
      </w:r>
      <w:r>
        <w:rPr>
          <w:rFonts w:ascii="Simplified Arabic" w:hAnsi="Simplified Arabic" w:cs="Simplified Arabic"/>
          <w:color w:val="000000" w:themeColor="text1"/>
          <w:sz w:val="24"/>
          <w:szCs w:val="24"/>
          <w:lang w:bidi="ar-EG"/>
        </w:rPr>
        <w:t xml:space="preserve"> </w:t>
      </w:r>
      <w:r>
        <w:rPr>
          <w:rFonts w:ascii="Simplified Arabic" w:hAnsi="Simplified Arabic" w:cs="Simplified Arabic"/>
          <w:color w:val="000000" w:themeColor="text1"/>
          <w:sz w:val="24"/>
          <w:szCs w:val="24"/>
          <w:rtl/>
          <w:lang w:bidi="ar-EG"/>
        </w:rPr>
        <w:t>بوصفه إطارًا معرفيًا وأثريًا لفهم نشأة الحضارة المصرية المبكرة (حوالي 7500–2500 ق.م). وتكمن جدة هذا النموذج النظرية في عمله على ثلاثة مستويات متزامنة. أولًا، يحدّد تسلسلًا تطوريًا رباعي المراحل قابلًا للاختبار والدحض — الألفة الرمزية المتجسدة، التكرار الطقسي، التضخيم المادي، التفريغ المعرفي، حيث يُشتق ترتيب هذه المراحل زمنيًا من أدلة مستقلة في علم الأعصاب، لا من السجل الأثري الذي يُفترض أن يفسّره. ثانيًا، يربط النموذج بين أزمنة ترسيخ الذاكرة في علم الأعصاب التجريبي وبين نوافذ زمنية قابلة للرصد أثريًا تتراوح بين 100 و1500 سنة، من خلال وصل أنظمة الذاكرة المحددة بمؤشرات قابلة للملاحظة ضمن بروتوكول الرفيق الحقلي</w:t>
      </w:r>
      <w:r>
        <w:rPr>
          <w:rFonts w:ascii="Simplified Arabic" w:hAnsi="Simplified Arabic" w:cs="Simplified Arabic"/>
          <w:color w:val="000000" w:themeColor="text1"/>
          <w:sz w:val="24"/>
          <w:szCs w:val="24"/>
          <w:lang w:bidi="ar-EG"/>
        </w:rPr>
        <w:t xml:space="preserve"> </w:t>
      </w:r>
      <w:r>
        <w:rPr>
          <w:rFonts w:asciiTheme="majorBidi" w:hAnsiTheme="majorBidi" w:cstheme="majorBidi"/>
          <w:color w:val="000000" w:themeColor="text1"/>
          <w:sz w:val="24"/>
          <w:szCs w:val="24"/>
          <w:lang w:bidi="ar-EG"/>
        </w:rPr>
        <w:t>(Field Companion Protocol – FCP).</w:t>
      </w:r>
      <w:r>
        <w:rPr>
          <w:rFonts w:ascii="Simplified Arabic" w:hAnsi="Simplified Arabic" w:cs="Simplified Arabic"/>
          <w:color w:val="000000" w:themeColor="text1"/>
          <w:sz w:val="24"/>
          <w:szCs w:val="24"/>
          <w:lang w:bidi="ar-EG"/>
        </w:rPr>
        <w:t xml:space="preserve"> </w:t>
      </w:r>
      <w:r>
        <w:rPr>
          <w:rFonts w:ascii="Simplified Arabic" w:hAnsi="Simplified Arabic" w:cs="Simplified Arabic"/>
          <w:color w:val="000000" w:themeColor="text1"/>
          <w:sz w:val="24"/>
          <w:szCs w:val="24"/>
          <w:rtl/>
          <w:lang w:bidi="ar-EG"/>
        </w:rPr>
        <w:t xml:space="preserve"> ثالثًا، يقدّم أداة تقييم ثنائية الأبعاد، حيث يُقيَّم كل مؤشر بشكل مستقل على محور قوة الدليل</w:t>
      </w:r>
      <w:r>
        <w:rPr>
          <w:rFonts w:ascii="Simplified Arabic" w:hAnsi="Simplified Arabic" w:cs="Simplified Arabic"/>
          <w:color w:val="000000" w:themeColor="text1"/>
          <w:sz w:val="24"/>
          <w:szCs w:val="24"/>
          <w:lang w:bidi="ar-EG"/>
        </w:rPr>
        <w:t xml:space="preserve"> </w:t>
      </w:r>
      <w:r>
        <w:rPr>
          <w:rFonts w:asciiTheme="majorBidi" w:hAnsiTheme="majorBidi" w:cstheme="majorBidi"/>
          <w:color w:val="000000" w:themeColor="text1"/>
          <w:sz w:val="24"/>
          <w:szCs w:val="24"/>
          <w:lang w:bidi="ar-EG"/>
        </w:rPr>
        <w:t>(E)</w:t>
      </w:r>
      <w:r>
        <w:rPr>
          <w:rFonts w:ascii="Simplified Arabic" w:hAnsi="Simplified Arabic" w:cs="Simplified Arabic"/>
          <w:color w:val="000000" w:themeColor="text1"/>
          <w:sz w:val="24"/>
          <w:szCs w:val="24"/>
          <w:lang w:bidi="ar-EG"/>
        </w:rPr>
        <w:t xml:space="preserve"> </w:t>
      </w:r>
      <w:r>
        <w:rPr>
          <w:rFonts w:ascii="Simplified Arabic" w:hAnsi="Simplified Arabic" w:cs="Simplified Arabic"/>
          <w:color w:val="000000" w:themeColor="text1"/>
          <w:sz w:val="24"/>
          <w:szCs w:val="24"/>
          <w:rtl/>
          <w:lang w:bidi="ar-EG"/>
        </w:rPr>
        <w:t>ومحور الخصوصية الرمزية</w:t>
      </w:r>
      <w:r>
        <w:rPr>
          <w:rFonts w:ascii="Simplified Arabic" w:hAnsi="Simplified Arabic" w:cs="Simplified Arabic" w:hint="cs"/>
          <w:color w:val="000000" w:themeColor="text1"/>
          <w:sz w:val="24"/>
          <w:szCs w:val="24"/>
          <w:rtl/>
          <w:lang w:bidi="ar-EG"/>
        </w:rPr>
        <w:t xml:space="preserve"> </w:t>
      </w:r>
      <w:r>
        <w:rPr>
          <w:rFonts w:asciiTheme="majorBidi" w:hAnsiTheme="majorBidi" w:cstheme="majorBidi"/>
          <w:color w:val="000000" w:themeColor="text1"/>
          <w:sz w:val="24"/>
          <w:szCs w:val="24"/>
          <w:lang w:bidi="ar-EG"/>
        </w:rPr>
        <w:t xml:space="preserve"> (S)</w:t>
      </w:r>
      <w:r>
        <w:rPr>
          <w:rFonts w:ascii="Simplified Arabic" w:hAnsi="Simplified Arabic" w:cs="Simplified Arabic"/>
          <w:color w:val="000000" w:themeColor="text1"/>
          <w:sz w:val="24"/>
          <w:szCs w:val="24"/>
          <w:rtl/>
          <w:lang w:bidi="ar-EG"/>
        </w:rPr>
        <w:t>، مع اعتماد قاعدة الحد الأدنى</w:t>
      </w:r>
      <w:r>
        <w:rPr>
          <w:rFonts w:ascii="Simplified Arabic" w:hAnsi="Simplified Arabic" w:cs="Simplified Arabic"/>
          <w:color w:val="000000" w:themeColor="text1"/>
          <w:sz w:val="24"/>
          <w:szCs w:val="24"/>
          <w:lang w:bidi="ar-EG"/>
        </w:rPr>
        <w:t xml:space="preserve"> </w:t>
      </w:r>
      <w:r>
        <w:rPr>
          <w:rFonts w:asciiTheme="majorBidi" w:hAnsiTheme="majorBidi" w:cstheme="majorBidi"/>
          <w:color w:val="000000" w:themeColor="text1"/>
          <w:sz w:val="24"/>
          <w:szCs w:val="24"/>
          <w:lang w:bidi="ar-EG"/>
        </w:rPr>
        <w:t>(min(E, S))</w:t>
      </w:r>
      <w:r>
        <w:rPr>
          <w:rFonts w:ascii="Simplified Arabic" w:hAnsi="Simplified Arabic" w:cs="Simplified Arabic"/>
          <w:color w:val="000000" w:themeColor="text1"/>
          <w:sz w:val="24"/>
          <w:szCs w:val="24"/>
          <w:lang w:bidi="ar-EG"/>
        </w:rPr>
        <w:t xml:space="preserve"> </w:t>
      </w:r>
      <w:r>
        <w:rPr>
          <w:rFonts w:ascii="Simplified Arabic" w:hAnsi="Simplified Arabic" w:cs="Simplified Arabic"/>
          <w:color w:val="000000" w:themeColor="text1"/>
          <w:sz w:val="24"/>
          <w:szCs w:val="24"/>
          <w:rtl/>
          <w:lang w:bidi="ar-EG"/>
        </w:rPr>
        <w:t>التي تمنع قوة الدليل من التعويض عن غموضه الرمزي</w:t>
      </w:r>
      <w:r>
        <w:rPr>
          <w:rFonts w:ascii="Simplified Arabic" w:hAnsi="Simplified Arabic" w:cs="Simplified Arabic"/>
          <w:color w:val="000000" w:themeColor="text1"/>
          <w:sz w:val="24"/>
          <w:szCs w:val="24"/>
          <w:lang w:bidi="ar-EG"/>
        </w:rPr>
        <w:t>.</w:t>
      </w:r>
    </w:p>
    <w:p w14:paraId="0C23D427" w14:textId="77777777" w:rsidR="00D23E33" w:rsidRPr="00D51999" w:rsidRDefault="00D23E33" w:rsidP="00D23E33">
      <w:pPr>
        <w:bidi/>
        <w:rPr>
          <w:rFonts w:ascii="Simplified Arabic" w:hAnsi="Simplified Arabic" w:cs="Simplified Arabic"/>
          <w:color w:val="000000" w:themeColor="text1"/>
          <w:sz w:val="24"/>
          <w:szCs w:val="24"/>
          <w:rtl/>
          <w:lang w:bidi="ar-EG"/>
        </w:rPr>
      </w:pPr>
      <w:r>
        <w:rPr>
          <w:rFonts w:ascii="Simplified Arabic" w:hAnsi="Simplified Arabic" w:cs="Simplified Arabic"/>
          <w:color w:val="000000" w:themeColor="text1"/>
          <w:sz w:val="24"/>
          <w:szCs w:val="24"/>
          <w:rtl/>
          <w:lang w:bidi="ar-EG"/>
        </w:rPr>
        <w:t>تتراوح درجات الفترات المصرية بين 4.5 من 12 (البداري) و12 من 12 (الدولة القديمة)، وهو ما يعكس تباينًا حقيقيًا في الأدلة بدلًا من تأكيد دائري للفرضيات. كما تُحلَّل ثلاث حالات سلبية — إفريقيا جنوب الصحراء، وأستراليا قبل التاريخ، وأوروبا في أواخر العصر الحجري الحديث — بوصفها اختبارات لشروط انطباق النموذج، وتمثّل ثلاث أنماط مختلفة من إخفاق</w:t>
      </w:r>
      <w:r>
        <w:rPr>
          <w:rFonts w:ascii="Simplified Arabic" w:hAnsi="Simplified Arabic" w:cs="Simplified Arabic"/>
          <w:color w:val="000000" w:themeColor="text1"/>
          <w:sz w:val="24"/>
          <w:szCs w:val="24"/>
          <w:lang w:bidi="ar-EG"/>
        </w:rPr>
        <w:t xml:space="preserve"> </w:t>
      </w:r>
      <w:r>
        <w:rPr>
          <w:rFonts w:asciiTheme="majorBidi" w:hAnsiTheme="majorBidi" w:cstheme="majorBidi"/>
          <w:color w:val="000000" w:themeColor="text1"/>
          <w:sz w:val="24"/>
          <w:szCs w:val="24"/>
          <w:lang w:bidi="ar-EG"/>
        </w:rPr>
        <w:t>DSSM:</w:t>
      </w:r>
      <w:r>
        <w:rPr>
          <w:rFonts w:ascii="Simplified Arabic" w:hAnsi="Simplified Arabic" w:cs="Simplified Arabic"/>
          <w:color w:val="000000" w:themeColor="text1"/>
          <w:sz w:val="24"/>
          <w:szCs w:val="24"/>
          <w:lang w:bidi="ar-EG"/>
        </w:rPr>
        <w:t xml:space="preserve"> </w:t>
      </w:r>
      <w:r>
        <w:rPr>
          <w:rFonts w:ascii="Simplified Arabic" w:hAnsi="Simplified Arabic" w:cs="Simplified Arabic"/>
          <w:color w:val="000000" w:themeColor="text1"/>
          <w:sz w:val="24"/>
          <w:szCs w:val="24"/>
          <w:rtl/>
          <w:lang w:bidi="ar-EG"/>
        </w:rPr>
        <w:t>غياب المرحلة الثالثة نتيجة التفتت، وغيابها البنيوي، ووجودها الجزئي مع تأخر لاحق في نشوء المؤسسات. ويجري تقييم جميع التنبؤات السبعة القابلة للدحض في ضوء الأدلة المتاحة. كذلك تُناقَش حالتان إضافيتان قد تمثلان أمثلة مضادة محتملة — مرتفعات غينيا الجديدة (تبادل واسع النطاق يتجاوز 500 فرد دون نشوء دولة) ونورتي شيكو (وجود منشآت ضخمة دون وسائط محمولة معيارية) — بوصفهما اختبارين لشروط انطباق النموذج. ويقدّم اختبار أولي لموثوقية التقييم بين المقيمين (معامل كوهين كابا = 0.71 عبر مُقيِّمَين وثلاثين مجموعة أثرية) تقديرًا أوليًا لموثوقية بروتوكول</w:t>
      </w:r>
      <w:r>
        <w:rPr>
          <w:rFonts w:ascii="Simplified Arabic" w:hAnsi="Simplified Arabic" w:cs="Simplified Arabic"/>
          <w:color w:val="000000" w:themeColor="text1"/>
          <w:sz w:val="24"/>
          <w:szCs w:val="24"/>
          <w:lang w:bidi="ar-EG"/>
        </w:rPr>
        <w:t xml:space="preserve"> </w:t>
      </w:r>
      <w:r>
        <w:rPr>
          <w:rFonts w:asciiTheme="majorBidi" w:hAnsiTheme="majorBidi" w:cstheme="majorBidi"/>
          <w:color w:val="000000" w:themeColor="text1"/>
          <w:sz w:val="24"/>
          <w:szCs w:val="24"/>
          <w:lang w:bidi="ar-EG"/>
        </w:rPr>
        <w:t>FCP</w:t>
      </w:r>
      <w:r>
        <w:rPr>
          <w:rFonts w:ascii="Simplified Arabic" w:hAnsi="Simplified Arabic" w:cs="Simplified Arabic"/>
          <w:color w:val="000000" w:themeColor="text1"/>
          <w:sz w:val="24"/>
          <w:szCs w:val="24"/>
          <w:rtl/>
          <w:lang w:bidi="ar-EG"/>
        </w:rPr>
        <w:t>، مع الإشارة إلى أن التحقق متعدد المقيمين يُعد أولوية بحثية مستقبلية</w:t>
      </w:r>
      <w:r>
        <w:rPr>
          <w:rFonts w:ascii="Simplified Arabic" w:hAnsi="Simplified Arabic" w:cs="Simplified Arabic"/>
          <w:color w:val="000000" w:themeColor="text1"/>
          <w:sz w:val="24"/>
          <w:szCs w:val="24"/>
          <w:lang w:bidi="ar-EG"/>
        </w:rPr>
        <w:t>.</w:t>
      </w:r>
    </w:p>
    <w:p w14:paraId="136AC3B4" w14:textId="558EA61F" w:rsidR="0023539C" w:rsidRPr="00D51999" w:rsidRDefault="00D23E33" w:rsidP="00D51999">
      <w:pPr>
        <w:bidi/>
        <w:ind w:firstLine="0"/>
        <w:rPr>
          <w:rFonts w:ascii="Simplified Arabic" w:hAnsi="Simplified Arabic" w:cs="Simplified Arabic"/>
          <w:b/>
          <w:bCs/>
          <w:sz w:val="24"/>
          <w:szCs w:val="24"/>
        </w:rPr>
      </w:pPr>
      <w:r>
        <w:rPr>
          <w:rFonts w:ascii="Simplified Arabic" w:hAnsi="Simplified Arabic" w:cs="Simplified Arabic"/>
          <w:b/>
          <w:bCs/>
          <w:color w:val="000000" w:themeColor="text1"/>
          <w:sz w:val="26"/>
          <w:szCs w:val="26"/>
          <w:rtl/>
          <w:lang w:bidi="ar-EG"/>
        </w:rPr>
        <w:t>الكلمات المفتاحية:</w:t>
      </w:r>
      <w:r>
        <w:rPr>
          <w:rFonts w:ascii="Simplified Arabic" w:hAnsi="Simplified Arabic" w:cs="Simplified Arabic"/>
          <w:color w:val="000000" w:themeColor="text1"/>
          <w:sz w:val="24"/>
          <w:szCs w:val="24"/>
          <w:rtl/>
          <w:lang w:bidi="ar-EG"/>
        </w:rPr>
        <w:t xml:space="preserve"> علم الآثار المعرفي، تثبيت الرمزية، وادي النيل قبل الأسرات، الذاكرة الثقافية، التطور المعرفي</w:t>
      </w:r>
    </w:p>
    <w:p w14:paraId="7E91DFC6" w14:textId="77777777" w:rsidR="00D51999" w:rsidRDefault="00D51999" w:rsidP="008A2B4C">
      <w:pPr>
        <w:rPr>
          <w:rFonts w:ascii="Times New Roman" w:hAnsi="Times New Roman" w:cs="Times New Roman"/>
          <w:b/>
          <w:bCs/>
          <w:sz w:val="24"/>
          <w:szCs w:val="24"/>
          <w:rtl/>
        </w:rPr>
      </w:pPr>
    </w:p>
    <w:p w14:paraId="01E290FC" w14:textId="002AA1E8" w:rsidR="0023539C" w:rsidRDefault="0023539C" w:rsidP="00504A76">
      <w:pPr>
        <w:ind w:firstLine="0"/>
        <w:rPr>
          <w:rFonts w:ascii="Times New Roman" w:hAnsi="Times New Roman" w:cs="Times New Roman"/>
          <w:sz w:val="24"/>
          <w:szCs w:val="24"/>
        </w:rPr>
      </w:pPr>
      <w:r>
        <w:rPr>
          <w:rFonts w:ascii="Times New Roman" w:hAnsi="Times New Roman" w:cs="Times New Roman"/>
          <w:b/>
          <w:bCs/>
          <w:sz w:val="26"/>
          <w:szCs w:val="26"/>
        </w:rPr>
        <w:t>AI Disclosure:</w:t>
      </w:r>
      <w:r>
        <w:rPr>
          <w:rFonts w:ascii="Times New Roman" w:hAnsi="Times New Roman" w:cs="Times New Roman"/>
          <w:b/>
          <w:bCs/>
          <w:sz w:val="24"/>
          <w:szCs w:val="24"/>
        </w:rPr>
        <w:t xml:space="preserve"> </w:t>
      </w:r>
      <w:r>
        <w:rPr>
          <w:rFonts w:ascii="Times New Roman" w:hAnsi="Times New Roman" w:cs="Times New Roman"/>
          <w:sz w:val="24"/>
          <w:szCs w:val="24"/>
        </w:rPr>
        <w:t xml:space="preserve">The author utilized Claude Sonnet by Anthropic (claude.ai) as an AI research assistant during the preparation of this work. </w:t>
      </w:r>
    </w:p>
    <w:p w14:paraId="6BE0B6B0" w14:textId="77777777" w:rsidR="0023539C" w:rsidRDefault="0023539C" w:rsidP="00504A76">
      <w:pPr>
        <w:ind w:firstLine="0"/>
        <w:rPr>
          <w:rFonts w:ascii="Times New Roman" w:hAnsi="Times New Roman" w:cs="Times New Roman"/>
          <w:sz w:val="24"/>
          <w:szCs w:val="24"/>
        </w:rPr>
      </w:pPr>
      <w:r>
        <w:rPr>
          <w:rFonts w:ascii="Times New Roman" w:hAnsi="Times New Roman" w:cs="Times New Roman"/>
          <w:sz w:val="24"/>
          <w:szCs w:val="24"/>
        </w:rPr>
        <w:t xml:space="preserve">Specifically, Claude was used to: </w:t>
      </w:r>
    </w:p>
    <w:p w14:paraId="26CD5F0C" w14:textId="77777777" w:rsidR="0023539C" w:rsidRDefault="0023539C" w:rsidP="00504A76">
      <w:pPr>
        <w:pStyle w:val="ListParagraph"/>
        <w:numPr>
          <w:ilvl w:val="0"/>
          <w:numId w:val="1"/>
        </w:numPr>
        <w:suppressAutoHyphens/>
        <w:ind w:left="284" w:firstLine="0"/>
        <w:contextualSpacing w:val="0"/>
        <w:rPr>
          <w:rFonts w:ascii="Times New Roman" w:hAnsi="Times New Roman" w:cs="Times New Roman"/>
          <w:sz w:val="24"/>
          <w:szCs w:val="24"/>
        </w:rPr>
      </w:pPr>
      <w:r>
        <w:rPr>
          <w:rFonts w:ascii="Times New Roman" w:hAnsi="Times New Roman" w:cs="Times New Roman"/>
          <w:sz w:val="24"/>
          <w:szCs w:val="24"/>
        </w:rPr>
        <w:t xml:space="preserve">generate and iterate diagram and figure designs </w:t>
      </w:r>
    </w:p>
    <w:p w14:paraId="190B5AEB" w14:textId="77777777" w:rsidR="00504A76" w:rsidRDefault="0023539C" w:rsidP="00504A76">
      <w:pPr>
        <w:pStyle w:val="ListParagraph"/>
        <w:numPr>
          <w:ilvl w:val="0"/>
          <w:numId w:val="1"/>
        </w:numPr>
        <w:suppressAutoHyphens/>
        <w:ind w:left="284" w:firstLine="0"/>
        <w:contextualSpacing w:val="0"/>
        <w:rPr>
          <w:rFonts w:ascii="Times New Roman" w:hAnsi="Times New Roman" w:cs="Times New Roman"/>
          <w:sz w:val="24"/>
          <w:szCs w:val="24"/>
        </w:rPr>
      </w:pPr>
      <w:r>
        <w:rPr>
          <w:rFonts w:ascii="Times New Roman" w:hAnsi="Times New Roman" w:cs="Times New Roman"/>
          <w:sz w:val="24"/>
          <w:szCs w:val="24"/>
        </w:rPr>
        <w:t xml:space="preserve">stress-test theoretical arguments and falsification criteria through structured </w:t>
      </w:r>
    </w:p>
    <w:p w14:paraId="2FC42959" w14:textId="06570C65" w:rsidR="0023539C" w:rsidRDefault="00504A76" w:rsidP="00504A76">
      <w:pPr>
        <w:pStyle w:val="ListParagraph"/>
        <w:suppressAutoHyphens/>
        <w:ind w:left="284" w:firstLine="0"/>
        <w:contextualSpacing w:val="0"/>
        <w:rPr>
          <w:rFonts w:ascii="Times New Roman" w:hAnsi="Times New Roman" w:cs="Times New Roman"/>
          <w:sz w:val="24"/>
          <w:szCs w:val="24"/>
        </w:rPr>
      </w:pPr>
      <w:r>
        <w:rPr>
          <w:rFonts w:ascii="Times New Roman" w:hAnsi="Times New Roman" w:cs="Times New Roman" w:hint="cs"/>
          <w:sz w:val="24"/>
          <w:szCs w:val="24"/>
          <w:rtl/>
        </w:rPr>
        <w:t xml:space="preserve">        </w:t>
      </w:r>
      <w:r>
        <w:rPr>
          <w:rFonts w:ascii="Times New Roman" w:hAnsi="Times New Roman" w:cs="Times New Roman"/>
          <w:sz w:val="24"/>
          <w:szCs w:val="24"/>
        </w:rPr>
        <w:t>iterative dialogue</w:t>
      </w:r>
    </w:p>
    <w:p w14:paraId="13731AF2" w14:textId="77777777" w:rsidR="0023539C" w:rsidRDefault="0023539C" w:rsidP="00504A76">
      <w:pPr>
        <w:pStyle w:val="ListParagraph"/>
        <w:numPr>
          <w:ilvl w:val="0"/>
          <w:numId w:val="1"/>
        </w:numPr>
        <w:suppressAutoHyphens/>
        <w:ind w:left="284" w:firstLine="0"/>
        <w:contextualSpacing w:val="0"/>
        <w:rPr>
          <w:rFonts w:ascii="Times New Roman" w:hAnsi="Times New Roman" w:cs="Times New Roman"/>
          <w:sz w:val="24"/>
          <w:szCs w:val="24"/>
        </w:rPr>
      </w:pPr>
      <w:r>
        <w:rPr>
          <w:rFonts w:ascii="Times New Roman" w:hAnsi="Times New Roman" w:cs="Times New Roman"/>
          <w:sz w:val="24"/>
          <w:szCs w:val="24"/>
        </w:rPr>
        <w:t xml:space="preserve">assist with literature synthesis and reference cross-checking, and </w:t>
      </w:r>
    </w:p>
    <w:p w14:paraId="41DD60B3" w14:textId="77777777" w:rsidR="0023539C" w:rsidRDefault="0023539C" w:rsidP="00504A76">
      <w:pPr>
        <w:pStyle w:val="ListParagraph"/>
        <w:numPr>
          <w:ilvl w:val="0"/>
          <w:numId w:val="1"/>
        </w:numPr>
        <w:suppressAutoHyphens/>
        <w:ind w:left="284" w:firstLine="0"/>
        <w:contextualSpacing w:val="0"/>
        <w:rPr>
          <w:rFonts w:ascii="Times New Roman" w:hAnsi="Times New Roman" w:cs="Times New Roman"/>
          <w:sz w:val="24"/>
          <w:szCs w:val="24"/>
        </w:rPr>
      </w:pPr>
      <w:r>
        <w:rPr>
          <w:rFonts w:ascii="Times New Roman" w:hAnsi="Times New Roman" w:cs="Times New Roman"/>
          <w:sz w:val="24"/>
          <w:szCs w:val="24"/>
        </w:rPr>
        <w:t>support structural editing and prose revision of draft sections.</w:t>
      </w:r>
    </w:p>
    <w:p w14:paraId="64D38200" w14:textId="77777777" w:rsidR="0023539C" w:rsidRDefault="0023539C" w:rsidP="008A2B4C">
      <w:pPr>
        <w:rPr>
          <w:rFonts w:ascii="Times New Roman" w:hAnsi="Times New Roman" w:cs="Times New Roman"/>
          <w:sz w:val="24"/>
          <w:szCs w:val="24"/>
        </w:rPr>
      </w:pPr>
    </w:p>
    <w:p w14:paraId="212F2513" w14:textId="77777777" w:rsidR="0023539C" w:rsidRDefault="0023539C" w:rsidP="008A2B4C">
      <w:pPr>
        <w:rPr>
          <w:rFonts w:ascii="Times New Roman" w:hAnsi="Times New Roman" w:cs="Times New Roman"/>
          <w:b/>
          <w:bCs/>
          <w:sz w:val="24"/>
          <w:szCs w:val="24"/>
        </w:rPr>
      </w:pPr>
      <w:r>
        <w:rPr>
          <w:rFonts w:ascii="Times New Roman" w:hAnsi="Times New Roman" w:cs="Times New Roman"/>
          <w:sz w:val="24"/>
          <w:szCs w:val="24"/>
        </w:rPr>
        <w:t xml:space="preserve"> The AI did not conduct independent literature searches, generate original empirical data, or contribute intellectual positions that were not initiated and directed by the author. All intellectual content, theoretical interpretations, and conclusions remain the sole responsibility of the author. This disclosure follows the COPE and Anthropic guidelines for transparent AI collaboration in academic publishing.</w:t>
      </w:r>
    </w:p>
    <w:p w14:paraId="3C3DF6BF" w14:textId="77777777" w:rsidR="00CA1D3C" w:rsidRDefault="00CA1D3C" w:rsidP="00CA1D3C">
      <w:pPr>
        <w:ind w:firstLine="0"/>
        <w:rPr>
          <w:rFonts w:ascii="Times New Roman" w:hAnsi="Times New Roman" w:cs="Times New Roman"/>
          <w:b/>
          <w:bCs/>
          <w:sz w:val="26"/>
          <w:szCs w:val="26"/>
        </w:rPr>
      </w:pPr>
    </w:p>
    <w:p w14:paraId="28AE1309" w14:textId="4CAA4C4D" w:rsidR="0023539C" w:rsidRDefault="0023539C" w:rsidP="00CA1D3C">
      <w:pPr>
        <w:ind w:firstLine="0"/>
        <w:rPr>
          <w:rFonts w:ascii="Times New Roman" w:hAnsi="Times New Roman" w:cs="Times New Roman"/>
          <w:sz w:val="24"/>
          <w:szCs w:val="24"/>
        </w:rPr>
      </w:pPr>
      <w:r>
        <w:rPr>
          <w:rFonts w:ascii="Times New Roman" w:hAnsi="Times New Roman" w:cs="Times New Roman"/>
          <w:b/>
          <w:bCs/>
          <w:sz w:val="26"/>
          <w:szCs w:val="26"/>
        </w:rPr>
        <w:t>SDG Alignment Statement:</w:t>
      </w:r>
      <w:r>
        <w:rPr>
          <w:rFonts w:ascii="Times New Roman" w:hAnsi="Times New Roman" w:cs="Times New Roman"/>
          <w:b/>
          <w:bCs/>
          <w:sz w:val="24"/>
          <w:szCs w:val="24"/>
        </w:rPr>
        <w:t xml:space="preserve"> </w:t>
      </w:r>
      <w:r>
        <w:rPr>
          <w:rFonts w:ascii="Times New Roman" w:hAnsi="Times New Roman" w:cs="Times New Roman"/>
          <w:sz w:val="24"/>
          <w:szCs w:val="24"/>
        </w:rPr>
        <w:t>This research contributes indirectly to three United Nations Sustainable Development Goals. It supports SDG 4 (Quality Education) by advancing interdisciplinary methodology in cognitive archaeology and providing an operationalized, falsifiable framework that can be taught, tested, and refined across archaeological specialisms. It relates to SDG 11 (Sustainable Cities and Communities) by illuminating the cognitive and symbolic preconditions of early urbanism and institutional emergence, contributing to broader understanding of how human communities develop durable collective structures. It engages with SDG 16 (Peace, Justice and Strong Institutions) by providing a mechanistic account of how stable, legitimate institutions emerge from symbolic stabilization processes — offering foundational insight into the cognitive and cultural conditions under which durable, community-wide institutional authority develops and persists across political disruption. The paper does not directly address SDG targets but engages with foundational questions relevant to all three goals.</w:t>
      </w:r>
    </w:p>
    <w:p w14:paraId="556D3114" w14:textId="77777777" w:rsidR="00C73F13" w:rsidRDefault="00C73F13" w:rsidP="00C73F13">
      <w:pPr>
        <w:keepNext/>
        <w:ind w:firstLine="0"/>
        <w:rPr>
          <w:rFonts w:ascii="Times New Roman" w:hAnsi="Times New Roman" w:cs="Times New Roman"/>
          <w:b/>
          <w:bCs/>
          <w:sz w:val="26"/>
          <w:szCs w:val="26"/>
        </w:rPr>
      </w:pPr>
    </w:p>
    <w:p w14:paraId="391CFE89" w14:textId="0B22E9BA" w:rsidR="0023539C" w:rsidRDefault="0023539C" w:rsidP="00C73F13">
      <w:pPr>
        <w:keepNext/>
        <w:ind w:firstLine="0"/>
        <w:rPr>
          <w:rFonts w:ascii="Times New Roman" w:hAnsi="Times New Roman" w:cs="Times New Roman"/>
          <w:sz w:val="26"/>
          <w:szCs w:val="26"/>
        </w:rPr>
      </w:pPr>
      <w:r>
        <w:rPr>
          <w:rFonts w:ascii="Times New Roman" w:hAnsi="Times New Roman" w:cs="Times New Roman"/>
          <w:b/>
          <w:bCs/>
          <w:sz w:val="26"/>
          <w:szCs w:val="26"/>
        </w:rPr>
        <w:t>1. Introduction</w:t>
      </w:r>
    </w:p>
    <w:p w14:paraId="285DA57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emergence of complex civilization in the Nile Valley remains one of the most studied and theoretically contested transitions in the human past. Despite a century of systematic excavation, fundamental questions regarding the cognitive and symbolic preconditions of early Egyptian civilization remain incompletely resolved: How did dispersed Neolithic communities cohere into integrated administrative and ritual polities across barely two millennia? What mechanisms enabled symbolic innovations to stabilize across generations without writing? And why did comparable ecological and demographic contexts elsewhere in Africa fail to produce equivalent institutional outcomes?</w:t>
      </w:r>
    </w:p>
    <w:p w14:paraId="2BA08119" w14:textId="7A16FCDB" w:rsidR="0023539C" w:rsidRDefault="0023539C" w:rsidP="008A2B4C">
      <w:pPr>
        <w:rPr>
          <w:rFonts w:ascii="Times New Roman" w:hAnsi="Times New Roman" w:cs="Times New Roman"/>
          <w:sz w:val="24"/>
          <w:szCs w:val="24"/>
        </w:rPr>
      </w:pPr>
      <w:r>
        <w:rPr>
          <w:rFonts w:ascii="Times New Roman" w:hAnsi="Times New Roman" w:cs="Times New Roman"/>
          <w:sz w:val="24"/>
          <w:szCs w:val="24"/>
        </w:rPr>
        <w:t>Existing explanatory paradigms address these questions only partially. Environmental determinis</w:t>
      </w:r>
      <w:r>
        <w:rPr>
          <w:rFonts w:ascii="Times New Roman" w:hAnsi="Times New Roman" w:cs="Times New Roman"/>
          <w:sz w:val="24"/>
          <w:szCs w:val="24"/>
          <w:highlight w:val="yellow"/>
        </w:rPr>
        <w:t>m</w:t>
      </w:r>
      <w:r>
        <w:rPr>
          <w:rStyle w:val="FootnoteReference"/>
          <w:rFonts w:ascii="Times New Roman" w:hAnsi="Times New Roman" w:cs="Times New Roman"/>
          <w:sz w:val="24"/>
          <w:szCs w:val="24"/>
          <w:highlight w:val="yellow"/>
        </w:rPr>
        <w:footnoteReference w:id="1"/>
      </w:r>
      <w:r>
        <w:rPr>
          <w:rFonts w:ascii="Times New Roman" w:hAnsi="Times New Roman" w:cs="Times New Roman"/>
          <w:sz w:val="24"/>
          <w:szCs w:val="24"/>
        </w:rPr>
        <w:t xml:space="preserve"> correctly identifies the Nile flood regime as an enabling condition but cannot explain the persistence of symbolic forms through periods of documented ecological disruptio</w:t>
      </w:r>
      <w:r>
        <w:rPr>
          <w:rFonts w:ascii="Times New Roman" w:hAnsi="Times New Roman" w:cs="Times New Roman"/>
          <w:sz w:val="24"/>
          <w:szCs w:val="24"/>
          <w:highlight w:val="yellow"/>
        </w:rPr>
        <w:t>n</w:t>
      </w:r>
      <w:r>
        <w:rPr>
          <w:rStyle w:val="FootnoteReference"/>
          <w:rFonts w:ascii="Times New Roman" w:hAnsi="Times New Roman" w:cs="Times New Roman"/>
          <w:sz w:val="24"/>
          <w:szCs w:val="24"/>
          <w:highlight w:val="yellow"/>
        </w:rPr>
        <w:footnoteReference w:id="2"/>
      </w:r>
      <w:r>
        <w:rPr>
          <w:rFonts w:ascii="Times New Roman" w:hAnsi="Times New Roman" w:cs="Times New Roman"/>
          <w:sz w:val="24"/>
          <w:szCs w:val="24"/>
        </w:rPr>
        <w:t>, nor the divergent institutional outcomes across comparable African ecologies. Technological determinis</w:t>
      </w:r>
      <w:r>
        <w:rPr>
          <w:rFonts w:ascii="Times New Roman" w:hAnsi="Times New Roman" w:cs="Times New Roman"/>
          <w:sz w:val="24"/>
          <w:szCs w:val="24"/>
          <w:highlight w:val="yellow"/>
        </w:rPr>
        <w:t>m</w:t>
      </w:r>
      <w:r>
        <w:rPr>
          <w:rStyle w:val="FootnoteReference"/>
          <w:rFonts w:ascii="Times New Roman" w:hAnsi="Times New Roman" w:cs="Times New Roman"/>
          <w:sz w:val="24"/>
          <w:szCs w:val="24"/>
          <w:highlight w:val="yellow"/>
        </w:rPr>
        <w:footnoteReference w:id="3"/>
      </w:r>
      <w:r>
        <w:rPr>
          <w:rFonts w:ascii="Times New Roman" w:hAnsi="Times New Roman" w:cs="Times New Roman"/>
          <w:sz w:val="24"/>
          <w:szCs w:val="24"/>
        </w:rPr>
        <w:t xml:space="preserve"> inverts the actual causal order suggested by the stratigraphic record: symbolic standardization demonstrably precedes the emergence of formal technologies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Cognitive revolution models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require punctuated neurological transitions that the Egyptian gradualist sequence directly contradicts. Recent archaeogenomic evidence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eliminates population replacement as a driver of symbolic elaboration in the relevant period.</w:t>
      </w:r>
    </w:p>
    <w:p w14:paraId="47855387" w14:textId="29940F3D" w:rsidR="0023539C" w:rsidRDefault="0023539C" w:rsidP="008A2B4C">
      <w:pPr>
        <w:rPr>
          <w:rFonts w:ascii="Times New Roman" w:hAnsi="Times New Roman" w:cs="Times New Roman"/>
          <w:sz w:val="24"/>
          <w:szCs w:val="24"/>
        </w:rPr>
      </w:pPr>
      <w:r>
        <w:rPr>
          <w:rFonts w:ascii="Times New Roman" w:hAnsi="Times New Roman" w:cs="Times New Roman"/>
          <w:sz w:val="24"/>
          <w:szCs w:val="24"/>
        </w:rPr>
        <w:t>Recent theoretical advances in cognitive archaeology — material engagement theory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distributed cognition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practice theory</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modes of religiosity</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and niche construction theory</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 have collectively transformed the conceptual landscape. Yet these frameworks remain fragmented: none integrates them into a unified, falsifiable, and fully operationalized account of civilizational emergence that generates testable predictions, specifies scoring thresholds, and accounts simultaneously for positive cases (where symbolic stabilization produced states) and negative cases (where it did not). This paper argues that the Deep Symbolic Systems Model (DSSM) constitutes that integration, and that it achieves it through three novel theoretical contributions operating simultaneously.</w:t>
      </w:r>
    </w:p>
    <w:p w14:paraId="3546EA6B" w14:textId="77777777" w:rsidR="00CA1D3C" w:rsidRDefault="00CA1D3C" w:rsidP="008A2B4C">
      <w:pPr>
        <w:rPr>
          <w:rFonts w:ascii="Times New Roman" w:hAnsi="Times New Roman" w:cs="Times New Roman"/>
          <w:sz w:val="24"/>
          <w:szCs w:val="24"/>
        </w:rPr>
      </w:pPr>
    </w:p>
    <w:p w14:paraId="60E24BC4" w14:textId="302FCFE2"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This paper pursues six objectives: </w:t>
      </w:r>
    </w:p>
    <w:p w14:paraId="6481835B"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elaborate DSSM’s three simultaneous novel contributions in relation to current cognitive neuroscience and cognitive archaeology</w:t>
      </w:r>
    </w:p>
    <w:p w14:paraId="57991C23"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introduce and justify the two-dimensional (2D) Field Companion Protocol scoring instrument, including a pilot inter-rater reliability estimate</w:t>
      </w:r>
    </w:p>
    <w:p w14:paraId="27D96201"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apply DSSM to the Egyptian archaeological record with honest variance in 2D scores, reported with full per-observable breakdowns</w:t>
      </w:r>
    </w:p>
    <w:p w14:paraId="59917A6E"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evaluate DSSM’s seven falsifiable predictions against both positive and negative comparison cases</w:t>
      </w:r>
    </w:p>
    <w:p w14:paraId="3D12C566"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analyze three negative cases — Sub-Saharan Africa, prehistoric Australia, and Late Neolithic Europe — as tests of three distinct DSSM scope conditions, and</w:t>
      </w:r>
    </w:p>
    <w:p w14:paraId="142BA210" w14:textId="77777777" w:rsidR="0023539C" w:rsidRDefault="0023539C" w:rsidP="008A2B4C">
      <w:pPr>
        <w:pStyle w:val="ListParagraph"/>
        <w:numPr>
          <w:ilvl w:val="0"/>
          <w:numId w:val="2"/>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to address two additional potential counterexamples — Highland New Guinea and Norte Chico — as explicit scope condition tests of P5 and P7.</w:t>
      </w:r>
    </w:p>
    <w:p w14:paraId="00D90BDE" w14:textId="77777777" w:rsidR="00CA1D3C" w:rsidRDefault="00CA1D3C" w:rsidP="0026489F">
      <w:pPr>
        <w:keepNext/>
        <w:ind w:firstLine="0"/>
        <w:rPr>
          <w:rFonts w:ascii="Times New Roman" w:hAnsi="Times New Roman" w:cs="Times New Roman"/>
          <w:b/>
          <w:bCs/>
          <w:sz w:val="26"/>
          <w:szCs w:val="26"/>
        </w:rPr>
      </w:pPr>
    </w:p>
    <w:p w14:paraId="68F508A4" w14:textId="7C9BD220" w:rsidR="0023539C" w:rsidRDefault="0023539C" w:rsidP="0026489F">
      <w:pPr>
        <w:keepNext/>
        <w:ind w:firstLine="0"/>
        <w:rPr>
          <w:rFonts w:ascii="Times New Roman" w:hAnsi="Times New Roman" w:cs="Times New Roman"/>
          <w:b/>
          <w:bCs/>
          <w:sz w:val="26"/>
          <w:szCs w:val="26"/>
        </w:rPr>
      </w:pPr>
      <w:r>
        <w:rPr>
          <w:rFonts w:ascii="Times New Roman" w:hAnsi="Times New Roman" w:cs="Times New Roman"/>
          <w:b/>
          <w:bCs/>
          <w:sz w:val="26"/>
          <w:szCs w:val="26"/>
        </w:rPr>
        <w:t>2. The Deep Symbolic Systems Model: Three Simultaneous Novel Contributions</w:t>
      </w:r>
    </w:p>
    <w:p w14:paraId="1B596AB3" w14:textId="60A148EB" w:rsidR="0023539C" w:rsidRDefault="0023539C" w:rsidP="0026489F">
      <w:pPr>
        <w:keepNext/>
        <w:ind w:firstLine="0"/>
        <w:rPr>
          <w:rFonts w:ascii="Times New Roman" w:hAnsi="Times New Roman" w:cs="Times New Roman"/>
          <w:b/>
          <w:bCs/>
          <w:sz w:val="26"/>
          <w:szCs w:val="26"/>
        </w:rPr>
      </w:pPr>
      <w:r>
        <w:rPr>
          <w:rFonts w:ascii="Times New Roman" w:hAnsi="Times New Roman" w:cs="Times New Roman"/>
          <w:b/>
          <w:bCs/>
          <w:sz w:val="26"/>
          <w:szCs w:val="26"/>
        </w:rPr>
        <w:t>2.1 Overview: What Makes DSSM Genuinely Novel</w:t>
      </w:r>
    </w:p>
    <w:p w14:paraId="505F16D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DSSM draws on five established theoretical frameworks: material engagement theory</w:t>
      </w:r>
      <w:r>
        <w:rPr>
          <w:rStyle w:val="FootnoteReference"/>
          <w:rFonts w:ascii="Times New Roman" w:hAnsi="Times New Roman" w:cs="Times New Roman"/>
          <w:sz w:val="24"/>
          <w:szCs w:val="24"/>
          <w:highlight w:val="yellow"/>
        </w:rPr>
        <w:footnoteReference w:id="12"/>
      </w:r>
      <w:r>
        <w:rPr>
          <w:rFonts w:ascii="Times New Roman" w:hAnsi="Times New Roman" w:cs="Times New Roman"/>
          <w:sz w:val="24"/>
          <w:szCs w:val="24"/>
          <w:highlight w:val="yellow"/>
        </w:rPr>
        <w:t>,</w:t>
      </w:r>
      <w:r>
        <w:rPr>
          <w:rFonts w:ascii="Times New Roman" w:hAnsi="Times New Roman" w:cs="Times New Roman"/>
          <w:sz w:val="24"/>
          <w:szCs w:val="24"/>
        </w:rPr>
        <w:t xml:space="preserve"> distributed cognition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practice theory</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modes of religiosity</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and niche construction theory</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Its novelty lies not in the individual components but in three integrations that none of these frameworks individually achieves, and that together constitute a theoretically distinct contribution rather than a synthesis.</w:t>
      </w:r>
    </w:p>
    <w:p w14:paraId="6AFB15D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first integration is the specification of a falsifiable developmental sequence: the claim that Stages 1 through 4 must occur in order, with temporal lags that can be predicted in advance, generating five empirical predictions (P1–P5) that can be evaluated against stratigraphy. Material engagement theory does not, as formulated, predict sequences of this kind; modes of religiosity theory does not specify temporal lags between stages; practice theory does not generate falsifiable institutional emergence predictions with advance detection windows. DSSM attempts all three simultaneously, though systematic comparison with these frameworks on this specific dimension remains an identified priority (Section 7.3).</w:t>
      </w:r>
    </w:p>
    <w:p w14:paraId="3D817847" w14:textId="1B2E835A"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second integration is the neural timescale bridge: the derivation of archaeologically detectable detection windows from laboratory-demonstrated neural consolidation timescales. This is not an analogy between neuroscience and archaeology but a translation: if procedural memory consolidation requires 4–8 weeks of repeated practice per individual, and if cultural transmission requires at least five generational cycles to suppress variation below the FCP (Field Companion Protocol) CV (Coefficient of Variation) &lt; 0.25 threshold</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then Stage 1 signatures should become archaeologically detectable within 100–500 years of symbolic practice initiation. This is a quantitative prediction that can be tested against dated assemblage sequences.</w:t>
      </w:r>
    </w:p>
    <w:p w14:paraId="4A196FEB" w14:textId="110B421B" w:rsidR="0026489F" w:rsidRPr="0026489F" w:rsidRDefault="0023539C" w:rsidP="0026489F">
      <w:pPr>
        <w:rPr>
          <w:rFonts w:ascii="Times New Roman" w:hAnsi="Times New Roman" w:cs="Times New Roman"/>
          <w:sz w:val="24"/>
          <w:szCs w:val="24"/>
        </w:rPr>
      </w:pPr>
      <w:r>
        <w:rPr>
          <w:rFonts w:ascii="Times New Roman" w:hAnsi="Times New Roman" w:cs="Times New Roman"/>
          <w:sz w:val="24"/>
          <w:szCs w:val="24"/>
        </w:rPr>
        <w:t>The third integration is the 2D scoring instrument, elaborated in Section 4. By scoring each observable independently on Evidence Strength (E) and Symbolic Specificity (S) axes with a minimum-rule combination, DSSM prevents the most common failure mode of archaeological scoring instruments: the tendency for evidence robustness (many data points) to compensate for symbolic ambiguity (unclear whether the pattern is symbolic or functional). A period with abundant but ambiguous evidence can score high on E but low on S, producing a min(E, S) score that honestly reflects the interpretive uncertainty. This is a methodological contribution independent of DSSM's substantive theoretical claims.</w:t>
      </w:r>
    </w:p>
    <w:p w14:paraId="6800F09C" w14:textId="77777777" w:rsidR="00CA1D3C" w:rsidRDefault="00CA1D3C" w:rsidP="0026489F">
      <w:pPr>
        <w:keepNext/>
        <w:ind w:firstLine="0"/>
        <w:rPr>
          <w:rFonts w:ascii="Times New Roman" w:hAnsi="Times New Roman" w:cs="Times New Roman"/>
          <w:b/>
          <w:bCs/>
          <w:sz w:val="26"/>
          <w:szCs w:val="26"/>
        </w:rPr>
      </w:pPr>
    </w:p>
    <w:p w14:paraId="54F6D67E" w14:textId="21A8E90A" w:rsidR="0023539C" w:rsidRDefault="0023539C" w:rsidP="0026489F">
      <w:pPr>
        <w:keepNext/>
        <w:ind w:firstLine="0"/>
        <w:rPr>
          <w:rFonts w:ascii="Times New Roman" w:hAnsi="Times New Roman" w:cs="Times New Roman"/>
          <w:b/>
          <w:bCs/>
          <w:sz w:val="26"/>
          <w:szCs w:val="26"/>
        </w:rPr>
      </w:pPr>
      <w:r>
        <w:rPr>
          <w:rFonts w:ascii="Times New Roman" w:hAnsi="Times New Roman" w:cs="Times New Roman"/>
          <w:b/>
          <w:bCs/>
          <w:sz w:val="26"/>
          <w:szCs w:val="26"/>
        </w:rPr>
        <w:t>2.2 Stage 1: Embodied Symbolic Familiarity</w:t>
      </w:r>
    </w:p>
    <w:p w14:paraId="1C8F7B9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neuroscientific foundations of Stage 1 are among the most thoroughly documented in cognitive science. Procedural memory consolidation, centered in the basal ganglia and cerebellum</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encodes motor sequences resistant to forgetting over timescales far exceeding explicit declarative memory. Hippocampal spatial patterning systems encode the mnemonic layouts of ritual and domestic space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in ways that persist across decades and are reliably transmitted through direct observation and co-participation. Prefrontal-motor integration networks enable the temporal sequencing of multi-agent coordinated tasks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the neural substrate of synchronized ritual action.</w:t>
      </w:r>
    </w:p>
    <w:p w14:paraId="47840A58"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theoretical claim is not merely that these systems support habit formation, but that when the same neural assemblies are consolidated independently across multiple community members through shared physical routines, the resulting convergence of neural architecture constitutes the biological substrate of collective symbolic memory. This is the mechanistic account of cultural transmission that practice theory</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postulates but does not ground in neural specifics. DSSM provides that grounding through the neural timescale bridge (Section 2.6 and Table 1).</w:t>
      </w:r>
    </w:p>
    <w:p w14:paraId="4499654B" w14:textId="77777777" w:rsidR="00CA1D3C" w:rsidRDefault="00CA1D3C" w:rsidP="0026489F">
      <w:pPr>
        <w:keepNext/>
        <w:ind w:firstLine="0"/>
        <w:rPr>
          <w:rFonts w:ascii="Times New Roman" w:hAnsi="Times New Roman" w:cs="Times New Roman"/>
          <w:b/>
          <w:bCs/>
          <w:sz w:val="26"/>
          <w:szCs w:val="26"/>
        </w:rPr>
      </w:pPr>
    </w:p>
    <w:p w14:paraId="2F8DB34D" w14:textId="071B7D0F" w:rsidR="0023539C" w:rsidRDefault="0023539C" w:rsidP="0026489F">
      <w:pPr>
        <w:keepNext/>
        <w:ind w:firstLine="0"/>
        <w:rPr>
          <w:rFonts w:ascii="Times New Roman" w:hAnsi="Times New Roman" w:cs="Times New Roman"/>
          <w:b/>
          <w:bCs/>
          <w:sz w:val="26"/>
          <w:szCs w:val="26"/>
        </w:rPr>
      </w:pPr>
      <w:r>
        <w:rPr>
          <w:rFonts w:ascii="Times New Roman" w:hAnsi="Times New Roman" w:cs="Times New Roman"/>
          <w:b/>
          <w:bCs/>
          <w:sz w:val="26"/>
          <w:szCs w:val="26"/>
        </w:rPr>
        <w:t>2.3 Stage 2: Ritualized Repetition</w:t>
      </w:r>
    </w:p>
    <w:p w14:paraId="6A2468F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Ritualization, in DSSM, is not primarily a religious category but a structural property of action sequences that have been sufficiently constrained, stylized, and socially sanctioned to produce predictable, learnable, and culturally transmissible patterns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The cognitive science of ritual</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establishes that ritualized actions function as cognitive tools: their predictability and redundancy reduce transmission cost while amplifying social coordination effects. The modes of religiosity framework</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provides empirical support: the cross-cultural data show that high-frequency, low-arousal rituals (doctrinal mode) consistently produce the widely-shared, easily-transmitted symbolic representations that DSSM identifies as the Stage 2 precondition of institutional emergence.</w:t>
      </w:r>
    </w:p>
    <w:p w14:paraId="11DAA278"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Neurologically, Stage 2 consolidation involves long-term potentiation</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repeated co-activation of neural pathways increases synaptic efficiency across the community, progressively encoding cultural meaning in neural architecture rather than in individually variable declarative knowledge. The archaeological signature — decreasing CV in artifact typologies — is the material precipitate of this neural convergence: as community members' motor and spatial routines consolidate toward a shared standard, the objects they produce and arrange reflect that convergence with diminishing variation.</w:t>
      </w:r>
    </w:p>
    <w:p w14:paraId="7A506749" w14:textId="77777777" w:rsidR="00CA1D3C" w:rsidRDefault="00CA1D3C" w:rsidP="0026489F">
      <w:pPr>
        <w:keepNext/>
        <w:ind w:firstLine="0"/>
        <w:rPr>
          <w:rFonts w:ascii="Times New Roman" w:hAnsi="Times New Roman" w:cs="Times New Roman"/>
          <w:b/>
          <w:bCs/>
          <w:sz w:val="26"/>
          <w:szCs w:val="26"/>
        </w:rPr>
      </w:pPr>
    </w:p>
    <w:p w14:paraId="0B97A2EC" w14:textId="4BCFB49A" w:rsidR="0023539C" w:rsidRDefault="0023539C" w:rsidP="0026489F">
      <w:pPr>
        <w:keepNext/>
        <w:ind w:firstLine="0"/>
        <w:rPr>
          <w:rFonts w:ascii="Times New Roman" w:hAnsi="Times New Roman" w:cs="Times New Roman"/>
          <w:b/>
          <w:bCs/>
          <w:sz w:val="26"/>
          <w:szCs w:val="26"/>
        </w:rPr>
      </w:pPr>
      <w:r>
        <w:rPr>
          <w:rFonts w:ascii="Times New Roman" w:hAnsi="Times New Roman" w:cs="Times New Roman"/>
          <w:b/>
          <w:bCs/>
          <w:sz w:val="26"/>
          <w:szCs w:val="26"/>
        </w:rPr>
        <w:t>2.4 Stage 3: Material Amplification and Externalized Cognition</w:t>
      </w:r>
    </w:p>
    <w:p w14:paraId="5351FC98"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Stage 3 is the threshold mechanism of the DSSM sequence: the stage whose presence or absence determines whether symbolic richness translates into institutional complexity. Material engagement theory</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provides the ontological foundation: the relationship between material culture and cognition is constitutive rather than representational, meaning that objects do not simply encode pre-formed symbolic contents but actively extend and transform cognitive processes. The DSSM claim is that once symbolic load exceeds the capacity of embodied and ritualized practice to maintain it reliably, communities face a threshold choice: externalize into durable, portable, standardized media or risk symbolic fragmentation and drift.</w:t>
      </w:r>
    </w:p>
    <w:p w14:paraId="0B542A4A" w14:textId="1F09AF76"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scope condition that the negative cases illuminate (Section 5) is that not all communities with high Stage 1 and Stage 2 consolidation successfully cross this threshold. The Australian case suggests that Stage 3 crossing requires not only the symbolic capacity (which Australia clearly had) but also the specific material and social conditions enabling systematic externalization: sufficient community connectivity, adequate material resources for standardized object production, and social mechanisms for distributing and recognizing standardized objects as symbolic carriers across communities. These conditions are contingent, not guaranteed by prior symbolic richness — which is why DSSM predicts that Stage 3 is the discriminating threshold for institutional emergence.</w:t>
      </w:r>
    </w:p>
    <w:p w14:paraId="3E2DDF63" w14:textId="77777777" w:rsidR="00CA1D3C" w:rsidRDefault="00CA1D3C" w:rsidP="00C00DF2">
      <w:pPr>
        <w:keepNext/>
        <w:ind w:firstLine="0"/>
        <w:rPr>
          <w:rFonts w:ascii="Times New Roman" w:hAnsi="Times New Roman" w:cs="Times New Roman"/>
          <w:b/>
          <w:bCs/>
          <w:sz w:val="26"/>
          <w:szCs w:val="26"/>
        </w:rPr>
      </w:pPr>
    </w:p>
    <w:p w14:paraId="36E70EE8" w14:textId="79975892" w:rsidR="0023539C" w:rsidRDefault="0023539C" w:rsidP="00C00DF2">
      <w:pPr>
        <w:keepNext/>
        <w:ind w:firstLine="0"/>
        <w:rPr>
          <w:rFonts w:ascii="Times New Roman" w:hAnsi="Times New Roman" w:cs="Times New Roman"/>
          <w:b/>
          <w:bCs/>
          <w:sz w:val="26"/>
          <w:szCs w:val="26"/>
        </w:rPr>
      </w:pPr>
      <w:r>
        <w:rPr>
          <w:rFonts w:ascii="Times New Roman" w:hAnsi="Times New Roman" w:cs="Times New Roman"/>
          <w:b/>
          <w:bCs/>
          <w:sz w:val="26"/>
          <w:szCs w:val="26"/>
        </w:rPr>
        <w:t>2.5 Stage 4: Cognitive Offloading and Institutional Emergence</w:t>
      </w:r>
    </w:p>
    <w:p w14:paraId="5933B2B2" w14:textId="77777777" w:rsidR="0023539C" w:rsidRPr="00C00DF2" w:rsidRDefault="0023539C" w:rsidP="008A2B4C">
      <w:pPr>
        <w:rPr>
          <w:rFonts w:asciiTheme="majorBidi" w:hAnsiTheme="majorBidi" w:cstheme="majorBidi"/>
          <w:sz w:val="24"/>
          <w:szCs w:val="24"/>
        </w:rPr>
      </w:pPr>
      <w:r>
        <w:rPr>
          <w:rFonts w:asciiTheme="majorBidi" w:hAnsiTheme="majorBidi" w:cstheme="majorBidi"/>
          <w:sz w:val="24"/>
          <w:szCs w:val="24"/>
        </w:rPr>
        <w:t>Cognitive offloading — the systematic transfer of memory, coordination, and authority to institutional structures and material devices — is the final mechanism and the proximate mechanism of state formation. Clark (2008), Hutchins (1995), and Overmann (2016)</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have established the theoretical framework; DSSM adds the developmental specification: offloading mechanisms can only take root in communities where Stages 1 through 3 have been substantially completed, because institutional legibility presupposes pre-existing symbolic conventions widely enough shared to make institutional encoding recognizable and authoritative.</w:t>
      </w:r>
    </w:p>
    <w:p w14:paraId="2F5B3D64"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unique predispositions of human social cognition — shared intentionality</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and normative enforcement of shared symbolic conventions</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 are the proximate cognitive capacities that Stage 4 offloading mechanisms recruit. DSSM does not treat these as sufficient conditions; it treats them as necessary but insufficient ones, requiring the prior scaffolding of Stages 1 through 3 before they can produce the institutional complexity of state formation.</w:t>
      </w:r>
    </w:p>
    <w:p w14:paraId="0FBBF448" w14:textId="77777777" w:rsidR="00CA1D3C" w:rsidRDefault="00CA1D3C" w:rsidP="00C00DF2">
      <w:pPr>
        <w:keepNext/>
        <w:ind w:firstLine="0"/>
        <w:rPr>
          <w:rFonts w:ascii="Times New Roman" w:hAnsi="Times New Roman" w:cs="Times New Roman"/>
          <w:b/>
          <w:bCs/>
          <w:sz w:val="26"/>
          <w:szCs w:val="26"/>
        </w:rPr>
      </w:pPr>
    </w:p>
    <w:p w14:paraId="5A4F004A" w14:textId="519D0454" w:rsidR="0023539C" w:rsidRDefault="0023539C" w:rsidP="00C00DF2">
      <w:pPr>
        <w:keepNext/>
        <w:ind w:firstLine="0"/>
        <w:rPr>
          <w:rFonts w:ascii="Times New Roman" w:hAnsi="Times New Roman" w:cs="Times New Roman"/>
          <w:b/>
          <w:bCs/>
          <w:sz w:val="26"/>
          <w:szCs w:val="26"/>
        </w:rPr>
      </w:pPr>
      <w:r>
        <w:rPr>
          <w:rFonts w:ascii="Times New Roman" w:hAnsi="Times New Roman" w:cs="Times New Roman"/>
          <w:b/>
          <w:bCs/>
          <w:sz w:val="26"/>
          <w:szCs w:val="26"/>
        </w:rPr>
        <w:t>2.6 The Neural Timescale Bridge</w:t>
      </w:r>
    </w:p>
    <w:p w14:paraId="23CB045B"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Table 1 summarizes the central novel contribution of the neural timescale bridge: the explicit derivation of archaeologically detectable detection windows from laboratory-demonstrated neural consolidation timescales. </w:t>
      </w:r>
    </w:p>
    <w:p w14:paraId="3E72D8FF"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translation logic uses three parameters: </w:t>
      </w:r>
    </w:p>
    <w:p w14:paraId="0EF39EE4" w14:textId="77777777" w:rsidR="00C00DF2" w:rsidRDefault="0023539C" w:rsidP="00C00DF2">
      <w:pPr>
        <w:pStyle w:val="ListParagraph"/>
        <w:numPr>
          <w:ilvl w:val="0"/>
          <w:numId w:val="3"/>
        </w:numPr>
        <w:suppressAutoHyphens/>
        <w:ind w:left="0" w:firstLine="284"/>
        <w:contextualSpacing w:val="0"/>
        <w:rPr>
          <w:rFonts w:ascii="Times New Roman" w:hAnsi="Times New Roman" w:cs="Times New Roman"/>
          <w:sz w:val="24"/>
          <w:szCs w:val="24"/>
        </w:rPr>
      </w:pPr>
      <w:r>
        <w:rPr>
          <w:rFonts w:ascii="Times New Roman" w:hAnsi="Times New Roman" w:cs="Times New Roman"/>
          <w:sz w:val="24"/>
          <w:szCs w:val="24"/>
        </w:rPr>
        <w:t xml:space="preserve">the laboratory-established timescale for individual consolidation of each neural  </w:t>
      </w:r>
    </w:p>
    <w:p w14:paraId="56FB827B" w14:textId="2460AB08" w:rsidR="0023539C" w:rsidRDefault="00C00DF2" w:rsidP="00C00DF2">
      <w:pPr>
        <w:pStyle w:val="ListParagraph"/>
        <w:suppressAutoHyphens/>
        <w:ind w:left="284" w:firstLine="0"/>
        <w:contextualSpacing w:val="0"/>
        <w:rPr>
          <w:rFonts w:ascii="Times New Roman" w:hAnsi="Times New Roman" w:cs="Times New Roman"/>
          <w:sz w:val="24"/>
          <w:szCs w:val="24"/>
        </w:rPr>
      </w:pPr>
      <w:r>
        <w:rPr>
          <w:rFonts w:ascii="Times New Roman" w:hAnsi="Times New Roman" w:cs="Times New Roman"/>
          <w:sz w:val="24"/>
          <w:szCs w:val="24"/>
        </w:rPr>
        <w:t xml:space="preserve">        mechanism; </w:t>
      </w:r>
    </w:p>
    <w:p w14:paraId="09C98C58" w14:textId="77777777" w:rsidR="0023539C" w:rsidRDefault="0023539C" w:rsidP="00C00DF2">
      <w:pPr>
        <w:pStyle w:val="ListParagraph"/>
        <w:numPr>
          <w:ilvl w:val="0"/>
          <w:numId w:val="3"/>
        </w:numPr>
        <w:suppressAutoHyphens/>
        <w:ind w:left="0" w:firstLine="284"/>
        <w:contextualSpacing w:val="0"/>
        <w:rPr>
          <w:rFonts w:ascii="Times New Roman" w:hAnsi="Times New Roman" w:cs="Times New Roman"/>
          <w:sz w:val="24"/>
          <w:szCs w:val="24"/>
        </w:rPr>
      </w:pPr>
      <w:r>
        <w:rPr>
          <w:rFonts w:ascii="Times New Roman" w:hAnsi="Times New Roman" w:cs="Times New Roman"/>
          <w:sz w:val="24"/>
          <w:szCs w:val="24"/>
        </w:rPr>
        <w:t xml:space="preserve">an estimated generation length of 25–30 years; and </w:t>
      </w:r>
    </w:p>
    <w:p w14:paraId="1419AF6A" w14:textId="77777777" w:rsidR="0023539C" w:rsidRDefault="0023539C" w:rsidP="00C00DF2">
      <w:pPr>
        <w:pStyle w:val="ListParagraph"/>
        <w:numPr>
          <w:ilvl w:val="0"/>
          <w:numId w:val="3"/>
        </w:numPr>
        <w:suppressAutoHyphens/>
        <w:ind w:left="0" w:firstLine="284"/>
        <w:contextualSpacing w:val="0"/>
        <w:rPr>
          <w:rFonts w:ascii="Times New Roman" w:hAnsi="Times New Roman" w:cs="Times New Roman"/>
          <w:sz w:val="24"/>
          <w:szCs w:val="24"/>
        </w:rPr>
      </w:pPr>
      <w:r>
        <w:t>the minimum number of transmission generations required to suppress population-level variation below the FCP detection thresholds (CV &lt; 0.25 for Stage 2, CV &lt; 0.15 for Stage 3), derived from computational models of cultural transmission reviewed by Henrich (2015) and Richerson et al. (2016)</w:t>
      </w:r>
      <w:r>
        <w:rPr>
          <w:rStyle w:val="FootnoteReference"/>
          <w:rFonts w:ascii="Times New Roman" w:hAnsi="Times New Roman" w:cs="Times New Roman"/>
          <w:sz w:val="24"/>
          <w:szCs w:val="24"/>
        </w:rPr>
        <w:footnoteReference w:id="30"/>
      </w:r>
      <w:r>
        <w:t>.</w:t>
      </w:r>
    </w:p>
    <w:p w14:paraId="386B25C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critical implication is that these windows are not post-hoc descriptions of the Egyptian timeline but advance predictions about when Stage-specific archaeological signatures should appear relative to the initiation of the underlying neural processes. For Egypt, the Badarian-to-Naqada I transition (approximately 500 years, consistent with the Stage 1 detection window of 100–500 years) and the Naqada I-to-II transition (approximately 500 years, at the upper boundary of the Stage 2 window of 200–800 years) fall within their predicted ranges. This congruence is a quantitative confirmation of the neural timescale bridge. Figure 1 illustrates the full theoretical architecture; Figure 2 displays the laboratory-to-archaeological translation curves and detection windows for each neural mechanism.</w:t>
      </w:r>
    </w:p>
    <w:p w14:paraId="18487D28" w14:textId="77777777" w:rsidR="00CA1D3C" w:rsidRDefault="00CA1D3C" w:rsidP="00C00DF2">
      <w:pPr>
        <w:keepNext/>
        <w:ind w:firstLine="0"/>
        <w:jc w:val="center"/>
        <w:rPr>
          <w:rFonts w:ascii="Times New Roman" w:hAnsi="Times New Roman" w:cs="Times New Roman"/>
          <w:b/>
          <w:bCs/>
          <w:sz w:val="24"/>
          <w:szCs w:val="24"/>
        </w:rPr>
      </w:pPr>
    </w:p>
    <w:p w14:paraId="019482C9" w14:textId="38971D36" w:rsidR="0023539C" w:rsidRDefault="0023539C" w:rsidP="00C00DF2">
      <w:pPr>
        <w:keepNext/>
        <w:ind w:firstLine="0"/>
        <w:jc w:val="center"/>
        <w:rPr>
          <w:rFonts w:ascii="Times New Roman" w:hAnsi="Times New Roman" w:cs="Times New Roman"/>
          <w:b/>
          <w:bCs/>
          <w:sz w:val="24"/>
          <w:szCs w:val="24"/>
        </w:rPr>
      </w:pPr>
      <w:r>
        <w:rPr>
          <w:rFonts w:ascii="Times New Roman" w:hAnsi="Times New Roman" w:cs="Times New Roman"/>
          <w:b/>
          <w:bCs/>
          <w:sz w:val="24"/>
          <w:szCs w:val="24"/>
        </w:rPr>
        <w:t>Table 1.</w:t>
      </w:r>
      <w:r>
        <w:rPr>
          <w:rFonts w:ascii="Times New Roman" w:hAnsi="Times New Roman" w:cs="Times New Roman"/>
          <w:i/>
          <w:iCs/>
          <w:sz w:val="24"/>
          <w:szCs w:val="24"/>
        </w:rPr>
        <w:t xml:space="preserve"> </w:t>
      </w:r>
      <w:r>
        <w:rPr>
          <w:rFonts w:ascii="Times New Roman" w:hAnsi="Times New Roman" w:cs="Times New Roman"/>
          <w:b/>
          <w:bCs/>
          <w:sz w:val="24"/>
          <w:szCs w:val="24"/>
        </w:rPr>
        <w:t>DSSM Neural Timescale Bridge: Laboratory Mechanisms and Archaeological Detection Windows</w:t>
      </w:r>
    </w:p>
    <w:tbl>
      <w:tblPr>
        <w:tblW w:w="0" w:type="auto"/>
        <w:jc w:val="center"/>
        <w:tblLayout w:type="fixed"/>
        <w:tblCellMar>
          <w:top w:w="60" w:type="dxa"/>
          <w:left w:w="80" w:type="dxa"/>
          <w:bottom w:w="60" w:type="dxa"/>
          <w:right w:w="80" w:type="dxa"/>
        </w:tblCellMar>
        <w:tblLook w:val="0000" w:firstRow="0" w:lastRow="0" w:firstColumn="0" w:lastColumn="0" w:noHBand="0" w:noVBand="0"/>
      </w:tblPr>
      <w:tblGrid>
        <w:gridCol w:w="1488"/>
        <w:gridCol w:w="1501"/>
        <w:gridCol w:w="1939"/>
        <w:gridCol w:w="2081"/>
        <w:gridCol w:w="1495"/>
      </w:tblGrid>
      <w:tr w:rsidR="0023539C" w14:paraId="435A317C" w14:textId="77777777">
        <w:trPr>
          <w:tblHeader/>
          <w:jc w:val="center"/>
        </w:trPr>
        <w:tc>
          <w:tcPr>
            <w:tcW w:w="14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9FD6F" w14:textId="77777777" w:rsidR="0023539C" w:rsidRPr="00466237" w:rsidRDefault="0023539C" w:rsidP="00D807D9">
            <w:pPr>
              <w:ind w:firstLine="0"/>
              <w:jc w:val="center"/>
              <w:rPr>
                <w:rFonts w:ascii="Times New Roman" w:hAnsi="Times New Roman" w:cs="Times New Roman"/>
              </w:rPr>
            </w:pPr>
            <w:r>
              <w:rPr>
                <w:rFonts w:ascii="Times New Roman" w:hAnsi="Times New Roman" w:cs="Times New Roman"/>
                <w:b/>
                <w:bCs/>
              </w:rPr>
              <w:t>Neural Mechanism</w:t>
            </w:r>
          </w:p>
        </w:tc>
        <w:tc>
          <w:tcPr>
            <w:tcW w:w="15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C6FCE" w14:textId="77777777" w:rsidR="0023539C" w:rsidRPr="00466237" w:rsidRDefault="0023539C" w:rsidP="00D807D9">
            <w:pPr>
              <w:ind w:firstLine="0"/>
              <w:jc w:val="center"/>
              <w:rPr>
                <w:rFonts w:ascii="Times New Roman" w:hAnsi="Times New Roman" w:cs="Times New Roman"/>
              </w:rPr>
            </w:pPr>
            <w:r>
              <w:rPr>
                <w:rFonts w:ascii="Times New Roman" w:hAnsi="Times New Roman" w:cs="Times New Roman"/>
                <w:b/>
                <w:bCs/>
              </w:rPr>
              <w:t>Brain System</w:t>
            </w:r>
          </w:p>
        </w:tc>
        <w:tc>
          <w:tcPr>
            <w:tcW w:w="19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A0707" w14:textId="77777777" w:rsidR="0023539C" w:rsidRPr="00466237" w:rsidRDefault="0023539C" w:rsidP="00D807D9">
            <w:pPr>
              <w:ind w:firstLine="0"/>
              <w:jc w:val="center"/>
              <w:rPr>
                <w:rFonts w:ascii="Times New Roman" w:hAnsi="Times New Roman" w:cs="Times New Roman"/>
              </w:rPr>
            </w:pPr>
            <w:r>
              <w:rPr>
                <w:rFonts w:ascii="Times New Roman" w:hAnsi="Times New Roman" w:cs="Times New Roman"/>
                <w:b/>
                <w:bCs/>
              </w:rPr>
              <w:t>Lab-Demonstrated Timescale</w:t>
            </w:r>
          </w:p>
        </w:tc>
        <w:tc>
          <w:tcPr>
            <w:tcW w:w="2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7C8589" w14:textId="77777777" w:rsidR="0023539C" w:rsidRPr="00466237" w:rsidRDefault="0023539C" w:rsidP="00D807D9">
            <w:pPr>
              <w:ind w:firstLine="0"/>
              <w:jc w:val="center"/>
              <w:rPr>
                <w:rFonts w:ascii="Times New Roman" w:hAnsi="Times New Roman" w:cs="Times New Roman"/>
              </w:rPr>
            </w:pPr>
            <w:r>
              <w:rPr>
                <w:rFonts w:ascii="Times New Roman" w:hAnsi="Times New Roman" w:cs="Times New Roman"/>
                <w:b/>
                <w:bCs/>
              </w:rPr>
              <w:t>DSSM Archaeological Detection Window</w:t>
            </w:r>
          </w:p>
        </w:tc>
        <w:tc>
          <w:tcPr>
            <w:tcW w:w="14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1BCB7D" w14:textId="77777777" w:rsidR="0023539C" w:rsidRPr="00466237" w:rsidRDefault="0023539C" w:rsidP="00D807D9">
            <w:pPr>
              <w:ind w:firstLine="0"/>
              <w:jc w:val="center"/>
              <w:rPr>
                <w:rFonts w:ascii="Times New Roman" w:hAnsi="Times New Roman" w:cs="Times New Roman"/>
              </w:rPr>
            </w:pPr>
            <w:r>
              <w:rPr>
                <w:rFonts w:ascii="Times New Roman" w:hAnsi="Times New Roman" w:cs="Times New Roman"/>
                <w:b/>
                <w:bCs/>
              </w:rPr>
              <w:t>Key References</w:t>
            </w:r>
          </w:p>
        </w:tc>
      </w:tr>
      <w:tr w:rsidR="0023539C" w14:paraId="57094B07" w14:textId="77777777">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762928ED"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Procedural memory consolidation</w:t>
            </w:r>
          </w:p>
        </w:tc>
        <w:tc>
          <w:tcPr>
            <w:tcW w:w="1501" w:type="dxa"/>
            <w:tcBorders>
              <w:top w:val="single" w:sz="4" w:space="0" w:color="000000"/>
              <w:left w:val="single" w:sz="4" w:space="0" w:color="000000"/>
              <w:bottom w:val="single" w:sz="4" w:space="0" w:color="000000"/>
              <w:right w:val="single" w:sz="4" w:space="0" w:color="000000"/>
            </w:tcBorders>
            <w:vAlign w:val="center"/>
          </w:tcPr>
          <w:p w14:paraId="241405DC"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Basal ganglia, cerebellum</w:t>
            </w:r>
          </w:p>
        </w:tc>
        <w:tc>
          <w:tcPr>
            <w:tcW w:w="1939" w:type="dxa"/>
            <w:tcBorders>
              <w:top w:val="single" w:sz="4" w:space="0" w:color="000000"/>
              <w:left w:val="single" w:sz="4" w:space="0" w:color="000000"/>
              <w:bottom w:val="single" w:sz="4" w:space="0" w:color="000000"/>
              <w:right w:val="single" w:sz="4" w:space="0" w:color="000000"/>
            </w:tcBorders>
            <w:vAlign w:val="center"/>
          </w:tcPr>
          <w:p w14:paraId="2F3182D8"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~4–8 weeks for motor habit formation in individuals</w:t>
            </w:r>
          </w:p>
        </w:tc>
        <w:tc>
          <w:tcPr>
            <w:tcW w:w="2081" w:type="dxa"/>
            <w:tcBorders>
              <w:top w:val="single" w:sz="4" w:space="0" w:color="000000"/>
              <w:left w:val="single" w:sz="4" w:space="0" w:color="000000"/>
              <w:bottom w:val="single" w:sz="4" w:space="0" w:color="000000"/>
              <w:right w:val="single" w:sz="4" w:space="0" w:color="000000"/>
            </w:tcBorders>
            <w:vAlign w:val="center"/>
          </w:tcPr>
          <w:p w14:paraId="19755B9B"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~100–500 years (5–25 transmission generations) — FCP Stage 1 window</w:t>
            </w:r>
          </w:p>
        </w:tc>
        <w:tc>
          <w:tcPr>
            <w:tcW w:w="1495" w:type="dxa"/>
            <w:tcBorders>
              <w:top w:val="single" w:sz="4" w:space="0" w:color="000000"/>
              <w:left w:val="single" w:sz="4" w:space="0" w:color="000000"/>
              <w:bottom w:val="single" w:sz="4" w:space="0" w:color="000000"/>
              <w:right w:val="single" w:sz="4" w:space="0" w:color="000000"/>
            </w:tcBorders>
            <w:vAlign w:val="center"/>
          </w:tcPr>
          <w:p w14:paraId="4648198F"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Graybiel (2008); Yin &amp; Knowlton (2006)</w:t>
            </w:r>
          </w:p>
        </w:tc>
      </w:tr>
      <w:tr w:rsidR="0023539C" w14:paraId="01DD535F" w14:textId="77777777">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1A9041B5"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Hippocampal spatial encoding</w:t>
            </w:r>
          </w:p>
        </w:tc>
        <w:tc>
          <w:tcPr>
            <w:tcW w:w="1501" w:type="dxa"/>
            <w:tcBorders>
              <w:top w:val="single" w:sz="4" w:space="0" w:color="000000"/>
              <w:left w:val="single" w:sz="4" w:space="0" w:color="000000"/>
              <w:bottom w:val="single" w:sz="4" w:space="0" w:color="000000"/>
              <w:right w:val="single" w:sz="4" w:space="0" w:color="000000"/>
            </w:tcBorders>
            <w:vAlign w:val="center"/>
          </w:tcPr>
          <w:p w14:paraId="2B358164"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Hippocampus, entorhinal cortex</w:t>
            </w:r>
          </w:p>
        </w:tc>
        <w:tc>
          <w:tcPr>
            <w:tcW w:w="1939" w:type="dxa"/>
            <w:tcBorders>
              <w:top w:val="single" w:sz="4" w:space="0" w:color="000000"/>
              <w:left w:val="single" w:sz="4" w:space="0" w:color="000000"/>
              <w:bottom w:val="single" w:sz="4" w:space="0" w:color="000000"/>
              <w:right w:val="single" w:sz="4" w:space="0" w:color="000000"/>
            </w:tcBorders>
            <w:vAlign w:val="center"/>
          </w:tcPr>
          <w:p w14:paraId="3EB19B7D" w14:textId="77777777" w:rsidR="0023539C" w:rsidRPr="00466237" w:rsidRDefault="0023539C" w:rsidP="00D807D9">
            <w:pPr>
              <w:ind w:firstLine="0"/>
              <w:jc w:val="center"/>
              <w:rPr>
                <w:rFonts w:ascii="Times New Roman" w:hAnsi="Times New Roman" w:cs="Times New Roman"/>
                <w:sz w:val="20"/>
                <w:szCs w:val="20"/>
              </w:rPr>
            </w:pPr>
            <w:r>
              <w:rPr>
                <w:rFonts w:ascii="Times New Roman" w:hAnsi="Times New Roman" w:cs="Times New Roman"/>
                <w:sz w:val="20"/>
                <w:szCs w:val="20"/>
              </w:rPr>
              <w:t>Hours to days for episodic spatial map formation</w:t>
            </w:r>
          </w:p>
        </w:tc>
        <w:tc>
          <w:tcPr>
            <w:tcW w:w="2081" w:type="dxa"/>
            <w:tcBorders>
              <w:top w:val="single" w:sz="4" w:space="0" w:color="000000"/>
              <w:left w:val="single" w:sz="4" w:space="0" w:color="000000"/>
              <w:bottom w:val="single" w:sz="4" w:space="0" w:color="000000"/>
              <w:right w:val="single" w:sz="4" w:space="0" w:color="000000"/>
            </w:tcBorders>
            <w:vAlign w:val="center"/>
          </w:tcPr>
          <w:p w14:paraId="3EA6F329"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~150–600 years — FCP Mnemonic Architectures detection</w:t>
            </w:r>
          </w:p>
        </w:tc>
        <w:tc>
          <w:tcPr>
            <w:tcW w:w="1495" w:type="dxa"/>
            <w:tcBorders>
              <w:top w:val="single" w:sz="4" w:space="0" w:color="000000"/>
              <w:left w:val="single" w:sz="4" w:space="0" w:color="000000"/>
              <w:bottom w:val="single" w:sz="4" w:space="0" w:color="000000"/>
              <w:right w:val="single" w:sz="4" w:space="0" w:color="000000"/>
            </w:tcBorders>
            <w:vAlign w:val="center"/>
          </w:tcPr>
          <w:p w14:paraId="25CB4330"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Burgess (2014); Eichenbaum (2017)</w:t>
            </w:r>
          </w:p>
        </w:tc>
      </w:tr>
      <w:tr w:rsidR="0023539C" w14:paraId="249120B2" w14:textId="77777777">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22D40934"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Long-term potentiation (synaptic)</w:t>
            </w:r>
          </w:p>
        </w:tc>
        <w:tc>
          <w:tcPr>
            <w:tcW w:w="1501" w:type="dxa"/>
            <w:tcBorders>
              <w:top w:val="single" w:sz="4" w:space="0" w:color="000000"/>
              <w:left w:val="single" w:sz="4" w:space="0" w:color="000000"/>
              <w:bottom w:val="single" w:sz="4" w:space="0" w:color="000000"/>
              <w:right w:val="single" w:sz="4" w:space="0" w:color="000000"/>
            </w:tcBorders>
            <w:vAlign w:val="center"/>
          </w:tcPr>
          <w:p w14:paraId="3B71D162"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Cortical and hippocampal synapses</w:t>
            </w:r>
          </w:p>
        </w:tc>
        <w:tc>
          <w:tcPr>
            <w:tcW w:w="1939" w:type="dxa"/>
            <w:tcBorders>
              <w:top w:val="single" w:sz="4" w:space="0" w:color="000000"/>
              <w:left w:val="single" w:sz="4" w:space="0" w:color="000000"/>
              <w:bottom w:val="single" w:sz="4" w:space="0" w:color="000000"/>
              <w:right w:val="single" w:sz="4" w:space="0" w:color="000000"/>
            </w:tcBorders>
            <w:vAlign w:val="center"/>
          </w:tcPr>
          <w:p w14:paraId="187A5DA4"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Minutes to hours for LTP induction; days–weeks for consolidation</w:t>
            </w:r>
          </w:p>
        </w:tc>
        <w:tc>
          <w:tcPr>
            <w:tcW w:w="2081" w:type="dxa"/>
            <w:tcBorders>
              <w:top w:val="single" w:sz="4" w:space="0" w:color="000000"/>
              <w:left w:val="single" w:sz="4" w:space="0" w:color="000000"/>
              <w:bottom w:val="single" w:sz="4" w:space="0" w:color="000000"/>
              <w:right w:val="single" w:sz="4" w:space="0" w:color="000000"/>
            </w:tcBorders>
            <w:vAlign w:val="center"/>
          </w:tcPr>
          <w:p w14:paraId="29672988"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~200–800 years — FCP Stage 2 ritualization window</w:t>
            </w:r>
          </w:p>
        </w:tc>
        <w:tc>
          <w:tcPr>
            <w:tcW w:w="1495" w:type="dxa"/>
            <w:tcBorders>
              <w:top w:val="single" w:sz="4" w:space="0" w:color="000000"/>
              <w:left w:val="single" w:sz="4" w:space="0" w:color="000000"/>
              <w:bottom w:val="single" w:sz="4" w:space="0" w:color="000000"/>
              <w:right w:val="single" w:sz="4" w:space="0" w:color="000000"/>
            </w:tcBorders>
            <w:vAlign w:val="center"/>
          </w:tcPr>
          <w:p w14:paraId="75B10EC9"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Squire &amp; Dede (2015)</w:t>
            </w:r>
          </w:p>
        </w:tc>
      </w:tr>
      <w:tr w:rsidR="0023539C" w14:paraId="580D2379" w14:textId="77777777">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6EA000E3"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Prefrontal-motor integration</w:t>
            </w:r>
          </w:p>
        </w:tc>
        <w:tc>
          <w:tcPr>
            <w:tcW w:w="1501" w:type="dxa"/>
            <w:tcBorders>
              <w:top w:val="single" w:sz="4" w:space="0" w:color="000000"/>
              <w:left w:val="single" w:sz="4" w:space="0" w:color="000000"/>
              <w:bottom w:val="single" w:sz="4" w:space="0" w:color="000000"/>
              <w:right w:val="single" w:sz="4" w:space="0" w:color="000000"/>
            </w:tcBorders>
            <w:vAlign w:val="center"/>
          </w:tcPr>
          <w:p w14:paraId="0B4EF576"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Prefrontal cortex, premotor areas</w:t>
            </w:r>
          </w:p>
        </w:tc>
        <w:tc>
          <w:tcPr>
            <w:tcW w:w="1939" w:type="dxa"/>
            <w:tcBorders>
              <w:top w:val="single" w:sz="4" w:space="0" w:color="000000"/>
              <w:left w:val="single" w:sz="4" w:space="0" w:color="000000"/>
              <w:bottom w:val="single" w:sz="4" w:space="0" w:color="000000"/>
              <w:right w:val="single" w:sz="4" w:space="0" w:color="000000"/>
            </w:tcBorders>
            <w:vAlign w:val="center"/>
          </w:tcPr>
          <w:p w14:paraId="6F2B600B"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Months for complex cognitive habit formation</w:t>
            </w:r>
          </w:p>
        </w:tc>
        <w:tc>
          <w:tcPr>
            <w:tcW w:w="2081" w:type="dxa"/>
            <w:tcBorders>
              <w:top w:val="single" w:sz="4" w:space="0" w:color="000000"/>
              <w:left w:val="single" w:sz="4" w:space="0" w:color="000000"/>
              <w:bottom w:val="single" w:sz="4" w:space="0" w:color="000000"/>
              <w:right w:val="single" w:sz="4" w:space="0" w:color="000000"/>
            </w:tcBorders>
            <w:vAlign w:val="center"/>
          </w:tcPr>
          <w:p w14:paraId="6E107E54"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~300–900 years — multi-agent ritual sequence entrenchment</w:t>
            </w:r>
          </w:p>
        </w:tc>
        <w:tc>
          <w:tcPr>
            <w:tcW w:w="1495" w:type="dxa"/>
            <w:tcBorders>
              <w:top w:val="single" w:sz="4" w:space="0" w:color="000000"/>
              <w:left w:val="single" w:sz="4" w:space="0" w:color="000000"/>
              <w:bottom w:val="single" w:sz="4" w:space="0" w:color="000000"/>
              <w:right w:val="single" w:sz="4" w:space="0" w:color="000000"/>
            </w:tcBorders>
            <w:vAlign w:val="center"/>
          </w:tcPr>
          <w:p w14:paraId="09CB51C8"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Miller &amp; Cohen (2001); Graybiel (2008)</w:t>
            </w:r>
          </w:p>
        </w:tc>
      </w:tr>
      <w:tr w:rsidR="0023539C" w14:paraId="695FB1E1" w14:textId="77777777">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0B16AD2E"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Cultural transmission bias accumulation</w:t>
            </w:r>
          </w:p>
        </w:tc>
        <w:tc>
          <w:tcPr>
            <w:tcW w:w="1501" w:type="dxa"/>
            <w:tcBorders>
              <w:top w:val="single" w:sz="4" w:space="0" w:color="000000"/>
              <w:left w:val="single" w:sz="4" w:space="0" w:color="000000"/>
              <w:bottom w:val="single" w:sz="4" w:space="0" w:color="000000"/>
              <w:right w:val="single" w:sz="4" w:space="0" w:color="000000"/>
            </w:tcBorders>
            <w:vAlign w:val="center"/>
          </w:tcPr>
          <w:p w14:paraId="7FFE777A"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Distributed social-cognitive network</w:t>
            </w:r>
          </w:p>
        </w:tc>
        <w:tc>
          <w:tcPr>
            <w:tcW w:w="1939" w:type="dxa"/>
            <w:tcBorders>
              <w:top w:val="single" w:sz="4" w:space="0" w:color="000000"/>
              <w:left w:val="single" w:sz="4" w:space="0" w:color="000000"/>
              <w:bottom w:val="single" w:sz="4" w:space="0" w:color="000000"/>
              <w:right w:val="single" w:sz="4" w:space="0" w:color="000000"/>
            </w:tcBorders>
            <w:vAlign w:val="center"/>
          </w:tcPr>
          <w:p w14:paraId="603A853F"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Within a single lifetime for high-fidelity copying</w:t>
            </w:r>
          </w:p>
        </w:tc>
        <w:tc>
          <w:tcPr>
            <w:tcW w:w="2081" w:type="dxa"/>
            <w:tcBorders>
              <w:top w:val="single" w:sz="4" w:space="0" w:color="000000"/>
              <w:left w:val="single" w:sz="4" w:space="0" w:color="000000"/>
              <w:bottom w:val="single" w:sz="4" w:space="0" w:color="000000"/>
              <w:right w:val="single" w:sz="4" w:space="0" w:color="000000"/>
            </w:tcBorders>
            <w:vAlign w:val="center"/>
          </w:tcPr>
          <w:p w14:paraId="40169A61"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~500–1,500 years for population-level symbolic drift suppression</w:t>
            </w:r>
          </w:p>
        </w:tc>
        <w:tc>
          <w:tcPr>
            <w:tcW w:w="1495" w:type="dxa"/>
            <w:tcBorders>
              <w:top w:val="single" w:sz="4" w:space="0" w:color="000000"/>
              <w:left w:val="single" w:sz="4" w:space="0" w:color="000000"/>
              <w:bottom w:val="single" w:sz="4" w:space="0" w:color="000000"/>
              <w:right w:val="single" w:sz="4" w:space="0" w:color="000000"/>
            </w:tcBorders>
            <w:vAlign w:val="center"/>
          </w:tcPr>
          <w:p w14:paraId="3E2D4292" w14:textId="77777777" w:rsidR="0023539C" w:rsidRPr="00466237" w:rsidRDefault="0023539C" w:rsidP="00D807D9">
            <w:pPr>
              <w:ind w:firstLine="0"/>
              <w:rPr>
                <w:rFonts w:ascii="Times New Roman" w:hAnsi="Times New Roman" w:cs="Times New Roman"/>
                <w:sz w:val="20"/>
                <w:szCs w:val="20"/>
              </w:rPr>
            </w:pPr>
            <w:r>
              <w:rPr>
                <w:rFonts w:ascii="Times New Roman" w:hAnsi="Times New Roman" w:cs="Times New Roman"/>
                <w:sz w:val="20"/>
                <w:szCs w:val="20"/>
              </w:rPr>
              <w:t>Henrich (2015); Richerson et al. (2016)</w:t>
            </w:r>
          </w:p>
        </w:tc>
      </w:tr>
    </w:tbl>
    <w:p w14:paraId="1737F296" w14:textId="77777777" w:rsidR="0023539C" w:rsidRDefault="0023539C" w:rsidP="008A2B4C">
      <w:pPr>
        <w:rPr>
          <w:rFonts w:ascii="Times New Roman" w:hAnsi="Times New Roman" w:cs="Times New Roman"/>
          <w:sz w:val="24"/>
          <w:szCs w:val="24"/>
        </w:rPr>
      </w:pPr>
    </w:p>
    <w:p w14:paraId="586222E8" w14:textId="77777777" w:rsidR="0023539C" w:rsidRDefault="00D535CB" w:rsidP="008A2B4C">
      <w:pPr>
        <w:keepNext/>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410AB287" wp14:editId="53D72C84">
            <wp:extent cx="5600700" cy="24511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2451100"/>
                    </a:xfrm>
                    <a:prstGeom prst="rect">
                      <a:avLst/>
                    </a:prstGeom>
                    <a:solidFill>
                      <a:srgbClr val="FFFFFF"/>
                    </a:solidFill>
                    <a:ln>
                      <a:noFill/>
                    </a:ln>
                  </pic:spPr>
                </pic:pic>
              </a:graphicData>
            </a:graphic>
          </wp:inline>
        </w:drawing>
      </w:r>
    </w:p>
    <w:p w14:paraId="47E203E2" w14:textId="77777777" w:rsidR="0023539C" w:rsidRPr="00D807D9" w:rsidRDefault="0023539C" w:rsidP="00D807D9">
      <w:pPr>
        <w:keepNext/>
        <w:ind w:firstLine="0"/>
        <w:rPr>
          <w:rFonts w:ascii="Times New Roman" w:hAnsi="Times New Roman" w:cs="Times New Roman"/>
          <w:sz w:val="24"/>
          <w:szCs w:val="24"/>
        </w:rPr>
      </w:pPr>
      <w:r>
        <w:rPr>
          <w:rFonts w:ascii="Times New Roman" w:hAnsi="Times New Roman" w:cs="Times New Roman"/>
          <w:sz w:val="24"/>
          <w:szCs w:val="24"/>
        </w:rPr>
        <w:t>Figure 1. DSSM Full Theoretical Architecture showing the four stages with neural timescale detection windows, and the three simultaneous novel contributions (NC1: falsifiable sequence; NC2: neural timescale bridge; NC3: 2D quantitative scoring with min-rule).</w:t>
      </w:r>
    </w:p>
    <w:p w14:paraId="44BBDAA1" w14:textId="77777777" w:rsidR="0023539C" w:rsidRDefault="0023539C" w:rsidP="008A2B4C">
      <w:pPr>
        <w:rPr>
          <w:rFonts w:ascii="Times New Roman" w:hAnsi="Times New Roman" w:cs="Times New Roman"/>
          <w:sz w:val="24"/>
          <w:szCs w:val="24"/>
        </w:rPr>
      </w:pPr>
    </w:p>
    <w:p w14:paraId="75BF310B" w14:textId="77777777" w:rsidR="0023539C" w:rsidRDefault="00D535CB" w:rsidP="00466237">
      <w:pPr>
        <w:keepNext/>
        <w:ind w:firstLine="0"/>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230C2082" wp14:editId="1ECF9897">
            <wp:extent cx="4940300" cy="200660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0300" cy="2006600"/>
                    </a:xfrm>
                    <a:prstGeom prst="rect">
                      <a:avLst/>
                    </a:prstGeom>
                    <a:solidFill>
                      <a:srgbClr val="FFFFFF"/>
                    </a:solidFill>
                    <a:ln>
                      <a:noFill/>
                    </a:ln>
                  </pic:spPr>
                </pic:pic>
              </a:graphicData>
            </a:graphic>
          </wp:inline>
        </w:drawing>
      </w:r>
    </w:p>
    <w:p w14:paraId="42C97C0A" w14:textId="77777777" w:rsidR="0023539C" w:rsidRPr="00D807D9" w:rsidRDefault="0023539C" w:rsidP="00D807D9">
      <w:pPr>
        <w:keepNext/>
        <w:ind w:firstLine="0"/>
        <w:jc w:val="center"/>
        <w:rPr>
          <w:rFonts w:ascii="Times New Roman" w:hAnsi="Times New Roman" w:cs="Times New Roman"/>
          <w:sz w:val="24"/>
          <w:szCs w:val="24"/>
        </w:rPr>
      </w:pPr>
      <w:r>
        <w:rPr>
          <w:rFonts w:ascii="Times New Roman" w:hAnsi="Times New Roman" w:cs="Times New Roman"/>
          <w:sz w:val="24"/>
          <w:szCs w:val="24"/>
        </w:rPr>
        <w:t>Figure 2. The Neural Timescale Bridge. Left panel: individual vs. culturally transmitted consolidation curves with Stage detection windows. Right panel: laboratory-to-archaeology translation table showing specific neural mechanisms, generation equivalents, and DSSM detection windows.</w:t>
      </w:r>
    </w:p>
    <w:p w14:paraId="1156F7CE" w14:textId="77777777" w:rsidR="00CA1D3C" w:rsidRDefault="00CA1D3C" w:rsidP="00D807D9">
      <w:pPr>
        <w:keepNext/>
        <w:ind w:firstLine="0"/>
        <w:rPr>
          <w:rFonts w:ascii="Times New Roman" w:hAnsi="Times New Roman" w:cs="Times New Roman"/>
          <w:b/>
          <w:bCs/>
          <w:sz w:val="26"/>
          <w:szCs w:val="26"/>
        </w:rPr>
      </w:pPr>
    </w:p>
    <w:p w14:paraId="46A86E03" w14:textId="2FF62785" w:rsidR="0023539C" w:rsidRDefault="0023539C" w:rsidP="00D807D9">
      <w:pPr>
        <w:keepNext/>
        <w:ind w:firstLine="0"/>
        <w:rPr>
          <w:rFonts w:ascii="Times New Roman" w:hAnsi="Times New Roman" w:cs="Times New Roman"/>
          <w:b/>
          <w:bCs/>
          <w:sz w:val="26"/>
          <w:szCs w:val="26"/>
        </w:rPr>
      </w:pPr>
      <w:r>
        <w:rPr>
          <w:rFonts w:ascii="Times New Roman" w:hAnsi="Times New Roman" w:cs="Times New Roman"/>
          <w:b/>
          <w:bCs/>
          <w:sz w:val="26"/>
          <w:szCs w:val="26"/>
        </w:rPr>
        <w:t>2.7 Stage 3 Threshold Conditions: The Transmission Fidelity Model</w:t>
      </w:r>
    </w:p>
    <w:p w14:paraId="469155E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most consequential theoretical gap in DSSM as previously formulated is the absence of a mechanistic account of Stage 3 threshold crossing: the model specifies Stage 3 as the discriminating threshold for institutional emergence but does not specify the conditions under which Stage 3 itself is achieved. This section closes that gap by developing the Transmission Fidelity Model of Stage 3 crossing and deriving Prediction P7.</w:t>
      </w:r>
    </w:p>
    <w:p w14:paraId="5098B56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Three candidate mechanisms have been proposed in the literature for why some communities externalize their symbolic systems into durable material media while others do not. The connectivity threshold model</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proposes that Stage 3 crossing requires inter-community network density above a critical percolation threshold. </w:t>
      </w:r>
    </w:p>
    <w:p w14:paraId="0D74761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transmission fidelity logic proceeds as follows. Embodied and ritualized practice — the mechanisms of Stages 1 and 2 — require co-presence for reliable transmission: the symbolic conventions must be directly observed, physically rehearsed, and socially sanctioned within a shared community of practice. The maximum group size within which face-to-face transmission reliably maintains symbolic fidelity is constrained by cognitive and social bandwidth. Dunbar’s social brain hypothesis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identifies approximately 150 as the upper boundary of stable, high-fidelity social networks maintained by direct interaction. DSSM proposes that when effective community sizes consistently exceed approximately 500 individuals, face-to-face transmission becomes structurally insufficient to maintain symbolic fidelity across the full community. At this scale, population-level symbolic drift — the gradual divergence of symbolic conventions across sub-groups lacking sustained co-presence — begins to outpace within-group consolidation, generating adaptive pressure to externalize symbolic content into durable, portable, standardized objects capable of carrying meaning across sub-group boundaries without co-presence.</w:t>
      </w:r>
    </w:p>
    <w:p w14:paraId="47E2BD8C"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w:t>
      </w:r>
      <w:r>
        <w:rPr>
          <w:rFonts w:ascii="Cambria Math" w:hAnsi="Cambria Math" w:cs="Cambria Math"/>
          <w:sz w:val="24"/>
          <w:szCs w:val="24"/>
        </w:rPr>
        <w:t>∼</w:t>
      </w:r>
      <w:r>
        <w:rPr>
          <w:rFonts w:ascii="Times New Roman" w:hAnsi="Times New Roman" w:cs="Times New Roman"/>
          <w:sz w:val="24"/>
          <w:szCs w:val="24"/>
        </w:rPr>
        <w:t xml:space="preserve">500-individual threshold is derived through the following chain of reasoning, each step of which is independently motivated: </w:t>
      </w:r>
    </w:p>
    <w:p w14:paraId="608E8D5B" w14:textId="77777777" w:rsidR="0023539C" w:rsidRDefault="0023539C" w:rsidP="008A2B4C">
      <w:pPr>
        <w:pStyle w:val="ListParagraph"/>
        <w:numPr>
          <w:ilvl w:val="0"/>
          <w:numId w:val="4"/>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Dunbar’s (1992, 2009) cognitive limit of </w:t>
      </w:r>
      <w:r>
        <w:rPr>
          <w:rFonts w:ascii="Cambria Math" w:hAnsi="Cambria Math" w:cs="Cambria Math"/>
          <w:sz w:val="24"/>
          <w:szCs w:val="24"/>
        </w:rPr>
        <w:t>∼</w:t>
      </w:r>
      <w:r>
        <w:rPr>
          <w:rFonts w:ascii="Times New Roman" w:hAnsi="Times New Roman" w:cs="Times New Roman"/>
          <w:sz w:val="24"/>
          <w:szCs w:val="24"/>
        </w:rPr>
        <w:t xml:space="preserve">150 for stable high-fidelity dyadic social relationships sets the maximum for direct monitoring of symbolic conformity. </w:t>
      </w:r>
    </w:p>
    <w:p w14:paraId="57D1D2AB" w14:textId="77777777" w:rsidR="0023539C" w:rsidRDefault="0023539C" w:rsidP="008A2B4C">
      <w:pPr>
        <w:pStyle w:val="ListParagraph"/>
        <w:numPr>
          <w:ilvl w:val="0"/>
          <w:numId w:val="4"/>
        </w:numPr>
        <w:tabs>
          <w:tab w:val="clear" w:pos="0"/>
        </w:tabs>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Empirical ethnographic data reviewed by Henrich (2015) and Hamilton et al. (2007)</w:t>
      </w:r>
      <w:r>
        <w:footnoteReference w:id="33"/>
      </w:r>
      <w:r>
        <w:rPr>
          <w:rFonts w:ascii="Times New Roman" w:hAnsi="Times New Roman" w:cs="Times New Roman"/>
          <w:sz w:val="24"/>
          <w:szCs w:val="24"/>
        </w:rPr>
        <w:t xml:space="preserve"> indicate that communities of 150–500 individuals maintain symbolic coherence through periodic aggregation events — ceremonies, seasonal gatherings — that effectively function as error-correction mechanisms, resynchronizing symbolic conventions across sub-groups between meetings. At this scale, aggregation-based resynchronization is sufficient.</w:t>
      </w:r>
    </w:p>
    <w:p w14:paraId="278BD891" w14:textId="77777777" w:rsidR="0023539C" w:rsidRDefault="0023539C" w:rsidP="008A2B4C">
      <w:pPr>
        <w:pStyle w:val="ListParagraph"/>
        <w:numPr>
          <w:ilvl w:val="0"/>
          <w:numId w:val="4"/>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Communities consistently exceeding </w:t>
      </w:r>
      <w:r>
        <w:rPr>
          <w:rFonts w:ascii="Cambria Math" w:hAnsi="Cambria Math" w:cs="Cambria Math"/>
          <w:sz w:val="24"/>
          <w:szCs w:val="24"/>
        </w:rPr>
        <w:t>∼</w:t>
      </w:r>
      <w:r>
        <w:rPr>
          <w:rFonts w:ascii="Times New Roman" w:hAnsi="Times New Roman" w:cs="Times New Roman"/>
          <w:sz w:val="24"/>
          <w:szCs w:val="24"/>
        </w:rPr>
        <w:t>500 individuals cannot sustain full aggregation-based resynchronization: the frequency and logistical demands of whole-community ceremonial aggregation become prohibitive, and sub-groups that fail to aggregate for extended periods begin exhibiting measurable symbolic drift</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p>
    <w:p w14:paraId="3B00027A" w14:textId="77777777" w:rsidR="0023539C" w:rsidRPr="00E24EC1" w:rsidRDefault="0023539C" w:rsidP="008A2B4C">
      <w:pPr>
        <w:ind w:left="284"/>
        <w:rPr>
          <w:rFonts w:asciiTheme="majorBidi" w:hAnsiTheme="majorBidi" w:cstheme="majorBidi"/>
          <w:sz w:val="24"/>
          <w:szCs w:val="24"/>
        </w:rPr>
      </w:pPr>
      <w:r>
        <w:rPr>
          <w:rFonts w:asciiTheme="majorBidi" w:hAnsiTheme="majorBidi" w:cstheme="majorBidi"/>
          <w:sz w:val="24"/>
          <w:szCs w:val="24"/>
        </w:rPr>
        <w:t xml:space="preserve">The </w:t>
      </w:r>
      <w:r>
        <w:rPr>
          <w:rFonts w:ascii="Cambria Math" w:hAnsi="Cambria Math" w:cs="Cambria Math"/>
          <w:sz w:val="24"/>
          <w:szCs w:val="24"/>
        </w:rPr>
        <w:t>∼</w:t>
      </w:r>
      <w:r>
        <w:rPr>
          <w:rFonts w:asciiTheme="majorBidi" w:hAnsiTheme="majorBidi" w:cstheme="majorBidi"/>
          <w:sz w:val="24"/>
          <w:szCs w:val="24"/>
        </w:rPr>
        <w:t>500-individual figure thus represents the upper boundary of the aggregation-resynchronization regime and the lower boundary of the externalization-pressure regime. It is a theoretically derived threshold, not an empirically measured one, and is proposed here explicitly as Prediction P7 — a claim requiring empirical calibration against settlement size data across a broad comparative sample before it can be treated as an established prior finding. Agent-based modeling of the symbolic drift dynamics at different community size thresholds (following Mesoudi, 2017</w:t>
      </w:r>
      <w:r>
        <w:rPr>
          <w:rStyle w:val="FootnoteReference"/>
          <w:rFonts w:asciiTheme="majorBidi" w:hAnsiTheme="majorBidi" w:cstheme="majorBidi"/>
          <w:sz w:val="24"/>
          <w:szCs w:val="24"/>
        </w:rPr>
        <w:footnoteReference w:id="35"/>
      </w:r>
      <w:r>
        <w:rPr>
          <w:rFonts w:asciiTheme="majorBidi" w:hAnsiTheme="majorBidi" w:cstheme="majorBidi"/>
          <w:sz w:val="24"/>
          <w:szCs w:val="24"/>
        </w:rPr>
        <w:t>) is identified as the priority formal derivation method for testing this threshold in Section 7.3.</w:t>
      </w:r>
    </w:p>
    <w:p w14:paraId="0A6BC6F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This is the mechanism of Stage 3 crossing: not a voluntary cultural choice but a transmission fidelity crisis forcing externalization. Communities that remain below the ~500-individual effective community threshold — whether through ecological constraint, deliberate social organization, or geographic isolation — do not face this crisis and therefore have no endogenous pressure to develop the standardized portable symbolic media that constitute Stage 3. Communities that exceed the threshold and fail to develop adequate externalization mechanisms experience symbolic fragmentation: the symbolic conventions that Stage 2 consolidated begin to drift across sub-groups, undermining the community-level coordination capacity that Stage 2 established.</w:t>
      </w:r>
    </w:p>
    <w:p w14:paraId="63BC672A" w14:textId="77777777" w:rsidR="0023539C" w:rsidRDefault="0023539C" w:rsidP="008A2B4C">
      <w:pPr>
        <w:rPr>
          <w:rFonts w:ascii="Times New Roman" w:hAnsi="Times New Roman" w:cs="Times New Roman"/>
          <w:i/>
          <w:iCs/>
          <w:sz w:val="24"/>
          <w:szCs w:val="24"/>
        </w:rPr>
      </w:pPr>
      <w:r>
        <w:rPr>
          <w:rFonts w:ascii="Times New Roman" w:hAnsi="Times New Roman" w:cs="Times New Roman"/>
          <w:sz w:val="24"/>
          <w:szCs w:val="24"/>
        </w:rPr>
        <w:t>The Egyptian case fits the transmission fidelity model precisely. Hassan's (1985) population estimates for Naqada II communities at Hierakonpolis suggest effective community sizes in the range of 2,000–5,000 individuals by approximately 3500 BCE — well above the ~500-individual Stage 3 threshold. The concurrent development of standardized portable symbolic objects (decorated palettes, ceramic iconographic programs, ivory figurines circulating across the exchange network) represents the externalization response to this transmission fidelity pressure. The Australian case is the exact inverse: Aboriginal Australian communities maintained effective band sizes of 25–50 individuals (Keen, 2018), with aggregation for ceremonies bringing groups to perhaps 200–400 temporarily (Merlan, 2020). These sizes remained consistently below the Stage 3 threshold, and — critically — Australian Aboriginal social organization appears to have been deliberately structured to prevent permanent aggregation above this scale, maintaining the co-presence conditions for oral and embodied transmission rather than externalizing into durable material media. DSSM's prediction is that this is not incidental but constitutive: Australian symbolic systems are designed for the community sizes they operate within.</w:t>
      </w:r>
    </w:p>
    <w:p w14:paraId="4DCE9F02" w14:textId="77777777" w:rsidR="0023539C" w:rsidRPr="00E24EC1" w:rsidRDefault="0023539C" w:rsidP="00E24EC1">
      <w:pPr>
        <w:ind w:firstLine="0"/>
        <w:rPr>
          <w:rFonts w:ascii="Times New Roman" w:hAnsi="Times New Roman" w:cs="Times New Roman"/>
          <w:sz w:val="24"/>
          <w:szCs w:val="24"/>
        </w:rPr>
      </w:pPr>
      <w:r>
        <w:rPr>
          <w:rFonts w:ascii="Times New Roman" w:hAnsi="Times New Roman" w:cs="Times New Roman"/>
          <w:sz w:val="24"/>
          <w:szCs w:val="24"/>
        </w:rPr>
        <w:t>2.7.1 Prediction P7: The Community Size Threshold for Stage 3 Crossing</w:t>
      </w:r>
    </w:p>
    <w:p w14:paraId="0AB6E706" w14:textId="77777777" w:rsidR="0023539C" w:rsidRPr="00E24EC1" w:rsidRDefault="0023539C" w:rsidP="00E24EC1">
      <w:pPr>
        <w:ind w:firstLine="0"/>
        <w:rPr>
          <w:rFonts w:ascii="Times New Roman" w:hAnsi="Times New Roman" w:cs="Times New Roman"/>
          <w:sz w:val="24"/>
          <w:szCs w:val="24"/>
        </w:rPr>
      </w:pPr>
      <w:r>
        <w:rPr>
          <w:rFonts w:ascii="Times New Roman" w:hAnsi="Times New Roman" w:cs="Times New Roman"/>
          <w:sz w:val="24"/>
          <w:szCs w:val="24"/>
        </w:rPr>
        <w:t>P7 (Stage 3 Community Size Threshold): Stage 3 crossing is expected in communities whose effective size consistently exceeds approximately 500 individuals across multiple generations; Stage 3 should be absent or incomplete in communities maintaining consistent effective sizes below this threshold, regardless of their Stage 1 and Stage 2 richness.</w:t>
      </w:r>
    </w:p>
    <w:p w14:paraId="25C975BF"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Falsification criterion: Any well-documented society with consistent effective community sizes below 500 individuals showing full Stage 3 completion; or any well-documented society with consistent effective community sizes above 500 individuals and high Stage 1–2 FCP scores showing persistent Stage 3 absence over multiple centuries.</w:t>
      </w:r>
    </w:p>
    <w:p w14:paraId="3CB6EC71" w14:textId="77777777" w:rsidR="0023539C" w:rsidRDefault="0023539C" w:rsidP="008A2B4C">
      <w:pPr>
        <w:rPr>
          <w:rFonts w:ascii="Times New Roman" w:hAnsi="Times New Roman" w:cs="Times New Roman"/>
          <w:b/>
          <w:bCs/>
          <w:sz w:val="24"/>
          <w:szCs w:val="24"/>
        </w:rPr>
      </w:pPr>
      <w:r>
        <w:rPr>
          <w:rFonts w:ascii="Times New Roman" w:hAnsi="Times New Roman" w:cs="Times New Roman"/>
          <w:sz w:val="24"/>
          <w:szCs w:val="24"/>
        </w:rPr>
        <w:t>Preliminary evaluation of P7 is presented in Table 7 (Section 7.4), alongside the artifact CV trajectory data for Prediction P3 in Table 6. Table 6 documents the declining CV across eight Egyptian stratigraphic phases; Table 7 presents the community size estimates for the eight comparison societies. Together they constitute the primary quantitative evidence base for Predictions P3 and P7.</w:t>
      </w:r>
    </w:p>
    <w:p w14:paraId="0C83A481" w14:textId="77777777" w:rsidR="00CA1D3C" w:rsidRDefault="00CA1D3C" w:rsidP="00E24EC1">
      <w:pPr>
        <w:keepNext/>
        <w:ind w:firstLine="0"/>
        <w:rPr>
          <w:rFonts w:ascii="Times New Roman" w:hAnsi="Times New Roman" w:cs="Times New Roman"/>
          <w:b/>
          <w:bCs/>
          <w:sz w:val="26"/>
          <w:szCs w:val="26"/>
        </w:rPr>
      </w:pPr>
    </w:p>
    <w:p w14:paraId="50996C8A" w14:textId="506D4F2F" w:rsidR="0023539C" w:rsidRDefault="0023539C" w:rsidP="00E24EC1">
      <w:pPr>
        <w:keepNext/>
        <w:ind w:firstLine="0"/>
        <w:rPr>
          <w:rFonts w:ascii="Times New Roman" w:hAnsi="Times New Roman" w:cs="Times New Roman"/>
          <w:b/>
          <w:bCs/>
          <w:sz w:val="26"/>
          <w:szCs w:val="26"/>
        </w:rPr>
      </w:pPr>
      <w:r>
        <w:rPr>
          <w:rFonts w:ascii="Times New Roman" w:hAnsi="Times New Roman" w:cs="Times New Roman"/>
          <w:b/>
          <w:bCs/>
          <w:sz w:val="26"/>
          <w:szCs w:val="26"/>
        </w:rPr>
        <w:t>3. The Two-Dimensional Field Companion Protocol</w:t>
      </w:r>
    </w:p>
    <w:p w14:paraId="28E5BA88" w14:textId="77777777" w:rsidR="0023539C" w:rsidRDefault="0023539C" w:rsidP="00E24EC1">
      <w:pPr>
        <w:keepNext/>
        <w:ind w:firstLine="0"/>
        <w:rPr>
          <w:rFonts w:ascii="Times New Roman" w:hAnsi="Times New Roman" w:cs="Times New Roman"/>
          <w:b/>
          <w:bCs/>
          <w:sz w:val="26"/>
          <w:szCs w:val="26"/>
        </w:rPr>
      </w:pPr>
      <w:r>
        <w:rPr>
          <w:rFonts w:ascii="Times New Roman" w:hAnsi="Times New Roman" w:cs="Times New Roman"/>
          <w:b/>
          <w:bCs/>
          <w:sz w:val="26"/>
          <w:szCs w:val="26"/>
        </w:rPr>
        <w:t>3.1 Motivation: Why Standard Single-Axis Scoring Fails</w:t>
      </w:r>
    </w:p>
    <w:p w14:paraId="1031C96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Single-axis scoring instruments in cognitive archaeology face a fundamental problem: evidence robustness and symbolic interpretability are independent dimensions that a single score conflates. A period with abundant, well-excavated assemblages may receive high scores even when the symbolic interpretation of the patterns is genuinely ambiguous. Conversely, a period with sparse but clearly non-functional depositional patterns may receive low scores despite strong symbolic specificity. Single-axis scoring systems systematically obscure this distinction, making it impossible to determine whether a high score reflects genuine symbolic stabilization or merely good preservation and excavation.</w:t>
      </w:r>
    </w:p>
    <w:p w14:paraId="36701DEA" w14:textId="1D1D9F24" w:rsidR="0023539C" w:rsidRDefault="0023539C" w:rsidP="00466237">
      <w:pPr>
        <w:rPr>
          <w:rFonts w:ascii="Times New Roman" w:hAnsi="Times New Roman" w:cs="Times New Roman"/>
          <w:sz w:val="24"/>
          <w:szCs w:val="24"/>
        </w:rPr>
      </w:pPr>
      <w:r>
        <w:rPr>
          <w:rFonts w:ascii="Times New Roman" w:hAnsi="Times New Roman" w:cs="Times New Roman"/>
          <w:sz w:val="24"/>
          <w:szCs w:val="24"/>
        </w:rPr>
        <w:t>The two-dimensional Field Companion Protocol addresses this by scoring each observable independently on two axes: Evidence Strength (E) measures how robustly the pattern is archaeologically detected — the quality, quantity, and replicability of the evidential base; Symbolic Specificity (S) measures how distinctly symbolic rather than functionally explicable the detected pattern is — whether an alternative functional or taphonomic account could explain it equally well. The minimum rule (final score = min(E, S)) ensures that neither dimension can compensate for weakness in the other: high evidence with low symbolic specificity produces a low final score, as does clear symbolic patterning with poor evidential support. This produces a genuinely conservative instrument that resists the confirmation bias that has plagued single-axis scoring in cognitive archaeology.</w:t>
      </w:r>
    </w:p>
    <w:p w14:paraId="06387B7E" w14:textId="77777777" w:rsidR="0023539C" w:rsidRDefault="0023539C" w:rsidP="00E24EC1">
      <w:pPr>
        <w:keepNext/>
        <w:ind w:firstLine="0"/>
        <w:rPr>
          <w:rFonts w:ascii="Times New Roman" w:hAnsi="Times New Roman" w:cs="Times New Roman"/>
          <w:b/>
          <w:bCs/>
          <w:sz w:val="26"/>
          <w:szCs w:val="26"/>
        </w:rPr>
      </w:pPr>
      <w:r>
        <w:rPr>
          <w:rFonts w:ascii="Times New Roman" w:hAnsi="Times New Roman" w:cs="Times New Roman"/>
          <w:b/>
          <w:bCs/>
          <w:sz w:val="26"/>
          <w:szCs w:val="26"/>
        </w:rPr>
        <w:t>3.2 The Six Observables with 2D Scoring</w:t>
      </w:r>
    </w:p>
    <w:p w14:paraId="3FE65050" w14:textId="77777777" w:rsidR="0023539C" w:rsidRDefault="0023539C" w:rsidP="008A2B4C">
      <w:pPr>
        <w:rPr>
          <w:rFonts w:ascii="Times New Roman" w:hAnsi="Times New Roman" w:cs="Times New Roman"/>
          <w:i/>
          <w:iCs/>
          <w:sz w:val="24"/>
          <w:szCs w:val="24"/>
        </w:rPr>
      </w:pPr>
      <w:r>
        <w:rPr>
          <w:rFonts w:ascii="Times New Roman" w:hAnsi="Times New Roman" w:cs="Times New Roman"/>
          <w:sz w:val="24"/>
          <w:szCs w:val="24"/>
        </w:rPr>
        <w:t>Table 2 defines the six FCP observables with their field translations, detection methods, and 2D scoring criteria. Figure 3 illustrates the 2D score space and the trajectory across the Egyptian sequence and comparison cases.</w:t>
      </w:r>
    </w:p>
    <w:p w14:paraId="01A3E81B" w14:textId="77777777" w:rsidR="0023539C" w:rsidRDefault="0023539C" w:rsidP="008A2B4C">
      <w:pPr>
        <w:jc w:val="center"/>
        <w:rPr>
          <w:rFonts w:ascii="Times New Roman" w:hAnsi="Times New Roman" w:cs="Times New Roman"/>
          <w:i/>
          <w:iCs/>
          <w:sz w:val="24"/>
          <w:szCs w:val="24"/>
        </w:rPr>
      </w:pPr>
    </w:p>
    <w:p w14:paraId="080BFB86" w14:textId="40858DBE" w:rsidR="0023539C" w:rsidRDefault="0023539C" w:rsidP="00E24EC1">
      <w:pPr>
        <w:ind w:firstLine="0"/>
        <w:jc w:val="center"/>
        <w:rPr>
          <w:rFonts w:ascii="Times New Roman" w:hAnsi="Times New Roman" w:cs="Times New Roman"/>
          <w:b/>
          <w:bCs/>
          <w:sz w:val="24"/>
          <w:szCs w:val="24"/>
        </w:rPr>
      </w:pPr>
      <w:r>
        <w:rPr>
          <w:rFonts w:ascii="Times New Roman" w:hAnsi="Times New Roman" w:cs="Times New Roman"/>
          <w:b/>
          <w:bCs/>
          <w:sz w:val="24"/>
          <w:szCs w:val="24"/>
        </w:rPr>
        <w:t>Table 2. Field Companion Protocol: Six Observables with 2D Scoring Criteria and Min-Rule Combination</w:t>
      </w:r>
    </w:p>
    <w:tbl>
      <w:tblPr>
        <w:tblW w:w="8503" w:type="dxa"/>
        <w:jc w:val="center"/>
        <w:tblLayout w:type="fixed"/>
        <w:tblCellMar>
          <w:top w:w="60" w:type="dxa"/>
          <w:left w:w="80" w:type="dxa"/>
          <w:bottom w:w="60" w:type="dxa"/>
          <w:right w:w="80" w:type="dxa"/>
        </w:tblCellMar>
        <w:tblLook w:val="0000" w:firstRow="0" w:lastRow="0" w:firstColumn="0" w:lastColumn="0" w:noHBand="0" w:noVBand="0"/>
      </w:tblPr>
      <w:tblGrid>
        <w:gridCol w:w="1271"/>
        <w:gridCol w:w="1418"/>
        <w:gridCol w:w="1626"/>
        <w:gridCol w:w="1630"/>
        <w:gridCol w:w="1670"/>
        <w:gridCol w:w="888"/>
      </w:tblGrid>
      <w:tr w:rsidR="0023539C" w14:paraId="72B3AA28" w14:textId="77777777" w:rsidTr="004E637D">
        <w:trPr>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BD017F"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Observable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F44DC"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Field Translation</w:t>
            </w:r>
          </w:p>
        </w:tc>
        <w:tc>
          <w:tcPr>
            <w:tcW w:w="1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17461"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Detection Method</w:t>
            </w:r>
          </w:p>
        </w:tc>
        <w:tc>
          <w:tcPr>
            <w:tcW w:w="1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A7983"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Evidence Strength (E) Scoring 0–2</w:t>
            </w:r>
          </w:p>
        </w:tc>
        <w:tc>
          <w:tcPr>
            <w:tcW w:w="1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49359"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Symbolic Specificity (S) Scoring 0–2</w:t>
            </w:r>
          </w:p>
        </w:tc>
        <w:tc>
          <w:tcPr>
            <w:tcW w:w="8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58170" w14:textId="77777777" w:rsidR="0023539C" w:rsidRPr="004E637D" w:rsidRDefault="0023539C" w:rsidP="00CA1D3C">
            <w:pPr>
              <w:ind w:firstLine="0"/>
              <w:jc w:val="center"/>
              <w:rPr>
                <w:rFonts w:ascii="Times New Roman" w:hAnsi="Times New Roman" w:cs="Times New Roman"/>
              </w:rPr>
            </w:pPr>
            <w:r>
              <w:rPr>
                <w:rFonts w:ascii="Times New Roman" w:hAnsi="Times New Roman" w:cs="Times New Roman"/>
                <w:b/>
                <w:bCs/>
              </w:rPr>
              <w:t>Min(E,S) Final</w:t>
            </w:r>
          </w:p>
        </w:tc>
      </w:tr>
      <w:tr w:rsidR="0023539C" w14:paraId="2E62C001"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7193C620"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Mnemonic Architectures</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4B4BB"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Repeated spatial layouts; standardised tool morphologies</w:t>
            </w:r>
          </w:p>
        </w:tc>
        <w:tc>
          <w:tcPr>
            <w:tcW w:w="1626" w:type="dxa"/>
            <w:tcBorders>
              <w:top w:val="single" w:sz="4" w:space="0" w:color="000000"/>
              <w:left w:val="single" w:sz="4" w:space="0" w:color="000000"/>
              <w:bottom w:val="single" w:sz="4" w:space="0" w:color="000000"/>
              <w:right w:val="single" w:sz="4" w:space="0" w:color="000000"/>
            </w:tcBorders>
            <w:vAlign w:val="center"/>
          </w:tcPr>
          <w:p w14:paraId="1436548F"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GIS spatial mapping across contexts; morphometric CV per typological class</w:t>
            </w:r>
          </w:p>
        </w:tc>
        <w:tc>
          <w:tcPr>
            <w:tcW w:w="1630" w:type="dxa"/>
            <w:tcBorders>
              <w:top w:val="single" w:sz="4" w:space="0" w:color="000000"/>
              <w:left w:val="single" w:sz="4" w:space="0" w:color="000000"/>
              <w:bottom w:val="single" w:sz="4" w:space="0" w:color="000000"/>
              <w:right w:val="single" w:sz="4" w:space="0" w:color="000000"/>
            </w:tcBorders>
            <w:vAlign w:val="center"/>
          </w:tcPr>
          <w:p w14:paraId="0356B7A3"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no data; 1: partial spatial regularity (2 contexts); 2: consistent pattern across 3+ independent contexts</w:t>
            </w:r>
          </w:p>
        </w:tc>
        <w:tc>
          <w:tcPr>
            <w:tcW w:w="1670" w:type="dxa"/>
            <w:tcBorders>
              <w:top w:val="single" w:sz="4" w:space="0" w:color="000000"/>
              <w:left w:val="single" w:sz="4" w:space="0" w:color="000000"/>
              <w:bottom w:val="single" w:sz="4" w:space="0" w:color="000000"/>
              <w:right w:val="single" w:sz="4" w:space="0" w:color="000000"/>
            </w:tcBorders>
            <w:vAlign w:val="center"/>
          </w:tcPr>
          <w:p w14:paraId="30CF98D8"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all patterns functionally explicable; 1: some spatial regularity non-functional; 2: systematic non-functional spatial constraint</w:t>
            </w:r>
          </w:p>
        </w:tc>
        <w:tc>
          <w:tcPr>
            <w:tcW w:w="888" w:type="dxa"/>
            <w:tcBorders>
              <w:top w:val="single" w:sz="4" w:space="0" w:color="000000"/>
              <w:left w:val="single" w:sz="4" w:space="0" w:color="000000"/>
              <w:bottom w:val="single" w:sz="4" w:space="0" w:color="000000"/>
              <w:right w:val="single" w:sz="4" w:space="0" w:color="000000"/>
            </w:tcBorders>
            <w:vAlign w:val="center"/>
          </w:tcPr>
          <w:p w14:paraId="27276BE4"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r w:rsidR="0023539C" w14:paraId="53A9181C"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D6CA65B"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Symbolic Stabilisation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6C36A92D"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Decreasing artifact CV across strata; typological uniformity over time</w:t>
            </w:r>
          </w:p>
        </w:tc>
        <w:tc>
          <w:tcPr>
            <w:tcW w:w="1626" w:type="dxa"/>
            <w:tcBorders>
              <w:top w:val="single" w:sz="4" w:space="0" w:color="000000"/>
              <w:left w:val="single" w:sz="4" w:space="0" w:color="000000"/>
              <w:bottom w:val="single" w:sz="4" w:space="0" w:color="000000"/>
              <w:right w:val="single" w:sz="4" w:space="0" w:color="000000"/>
            </w:tcBorders>
            <w:vAlign w:val="center"/>
          </w:tcPr>
          <w:p w14:paraId="0805256D"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CV per stratigraphic layer; seriation trend analysis; linear regression of CV trajectory</w:t>
            </w:r>
          </w:p>
        </w:tc>
        <w:tc>
          <w:tcPr>
            <w:tcW w:w="1630" w:type="dxa"/>
            <w:tcBorders>
              <w:top w:val="single" w:sz="4" w:space="0" w:color="000000"/>
              <w:left w:val="single" w:sz="4" w:space="0" w:color="000000"/>
              <w:bottom w:val="single" w:sz="4" w:space="0" w:color="000000"/>
              <w:right w:val="single" w:sz="4" w:space="0" w:color="000000"/>
            </w:tcBorders>
            <w:vAlign w:val="center"/>
          </w:tcPr>
          <w:p w14:paraId="487986A9"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insufficient data; 1: CV trend detectable over 2+ strata; 2: CV &lt; 0.15 maintained across 3+ strata</w:t>
            </w:r>
          </w:p>
        </w:tc>
        <w:tc>
          <w:tcPr>
            <w:tcW w:w="1670" w:type="dxa"/>
            <w:tcBorders>
              <w:top w:val="single" w:sz="4" w:space="0" w:color="000000"/>
              <w:left w:val="single" w:sz="4" w:space="0" w:color="000000"/>
              <w:bottom w:val="single" w:sz="4" w:space="0" w:color="000000"/>
              <w:right w:val="single" w:sz="4" w:space="0" w:color="000000"/>
            </w:tcBorders>
            <w:vAlign w:val="center"/>
          </w:tcPr>
          <w:p w14:paraId="792FE6D8"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CV decline compatible with functional efficiency; 1: some pattern exceeds functional explanation; 2: CV pattern requires symbolic transmission account</w:t>
            </w:r>
          </w:p>
        </w:tc>
        <w:tc>
          <w:tcPr>
            <w:tcW w:w="888" w:type="dxa"/>
            <w:tcBorders>
              <w:top w:val="single" w:sz="4" w:space="0" w:color="000000"/>
              <w:left w:val="single" w:sz="4" w:space="0" w:color="000000"/>
              <w:bottom w:val="single" w:sz="4" w:space="0" w:color="000000"/>
              <w:right w:val="single" w:sz="4" w:space="0" w:color="000000"/>
            </w:tcBorders>
            <w:vAlign w:val="center"/>
          </w:tcPr>
          <w:p w14:paraId="3DB7EA6C"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r w:rsidR="0023539C" w14:paraId="7A607B95"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190ED313"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Externalized Cognition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68C43EC4"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Durable marks, tally devices, standardised inscriptions; persistent motifs across media</w:t>
            </w:r>
          </w:p>
        </w:tc>
        <w:tc>
          <w:tcPr>
            <w:tcW w:w="1626" w:type="dxa"/>
            <w:tcBorders>
              <w:top w:val="single" w:sz="4" w:space="0" w:color="000000"/>
              <w:left w:val="single" w:sz="4" w:space="0" w:color="000000"/>
              <w:bottom w:val="single" w:sz="4" w:space="0" w:color="000000"/>
              <w:right w:val="single" w:sz="4" w:space="0" w:color="000000"/>
            </w:tcBorders>
            <w:vAlign w:val="center"/>
          </w:tcPr>
          <w:p w14:paraId="4BA8CE41"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Record all marks; assess for standardisation, repetition, non-utilitarian context; motif inter-site recurrence</w:t>
            </w:r>
          </w:p>
        </w:tc>
        <w:tc>
          <w:tcPr>
            <w:tcW w:w="1630" w:type="dxa"/>
            <w:tcBorders>
              <w:top w:val="single" w:sz="4" w:space="0" w:color="000000"/>
              <w:left w:val="single" w:sz="4" w:space="0" w:color="000000"/>
              <w:bottom w:val="single" w:sz="4" w:space="0" w:color="000000"/>
              <w:right w:val="single" w:sz="4" w:space="0" w:color="000000"/>
            </w:tcBorders>
            <w:vAlign w:val="center"/>
          </w:tcPr>
          <w:p w14:paraId="25FD606B"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absent; 1: isolated examples; 2: systematic, recurring, cross-media, inter-site</w:t>
            </w:r>
          </w:p>
        </w:tc>
        <w:tc>
          <w:tcPr>
            <w:tcW w:w="1670" w:type="dxa"/>
            <w:tcBorders>
              <w:top w:val="single" w:sz="4" w:space="0" w:color="000000"/>
              <w:left w:val="single" w:sz="4" w:space="0" w:color="000000"/>
              <w:bottom w:val="single" w:sz="4" w:space="0" w:color="000000"/>
              <w:right w:val="single" w:sz="4" w:space="0" w:color="000000"/>
            </w:tcBorders>
            <w:vAlign w:val="center"/>
          </w:tcPr>
          <w:p w14:paraId="0468A352"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marks all utilitarian; 1: some non-utilitarian examples; 2: clear symbolic function, non-local distribution, canonical forms</w:t>
            </w:r>
          </w:p>
        </w:tc>
        <w:tc>
          <w:tcPr>
            <w:tcW w:w="888" w:type="dxa"/>
            <w:tcBorders>
              <w:top w:val="single" w:sz="4" w:space="0" w:color="000000"/>
              <w:left w:val="single" w:sz="4" w:space="0" w:color="000000"/>
              <w:bottom w:val="single" w:sz="4" w:space="0" w:color="000000"/>
              <w:right w:val="single" w:sz="4" w:space="0" w:color="000000"/>
            </w:tcBorders>
            <w:vAlign w:val="center"/>
          </w:tcPr>
          <w:p w14:paraId="3D4E27FA"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r w:rsidR="0023539C" w14:paraId="7B207924"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271F432"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Symbolic Regulation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8B1FFC0"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Constraints overriding functional optimisation; non-utilitarian deposition</w:t>
            </w:r>
          </w:p>
        </w:tc>
        <w:tc>
          <w:tcPr>
            <w:tcW w:w="1626" w:type="dxa"/>
            <w:tcBorders>
              <w:top w:val="single" w:sz="4" w:space="0" w:color="000000"/>
              <w:left w:val="single" w:sz="4" w:space="0" w:color="000000"/>
              <w:bottom w:val="single" w:sz="4" w:space="0" w:color="000000"/>
              <w:right w:val="single" w:sz="4" w:space="0" w:color="000000"/>
            </w:tcBorders>
            <w:vAlign w:val="center"/>
          </w:tcPr>
          <w:p w14:paraId="6FAD3D91"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Chi-square test vs. null functional model; flag anatomically anomalous, non-economic deposition</w:t>
            </w:r>
          </w:p>
        </w:tc>
        <w:tc>
          <w:tcPr>
            <w:tcW w:w="1630" w:type="dxa"/>
            <w:tcBorders>
              <w:top w:val="single" w:sz="4" w:space="0" w:color="000000"/>
              <w:left w:val="single" w:sz="4" w:space="0" w:color="000000"/>
              <w:bottom w:val="single" w:sz="4" w:space="0" w:color="000000"/>
              <w:right w:val="single" w:sz="4" w:space="0" w:color="000000"/>
            </w:tcBorders>
            <w:vAlign w:val="center"/>
          </w:tcPr>
          <w:p w14:paraId="641FD531"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insufficient sample; 1: some non-utilitarian deposition; 2: systematic non-functional patterning (p &lt; 0.01)</w:t>
            </w:r>
          </w:p>
        </w:tc>
        <w:tc>
          <w:tcPr>
            <w:tcW w:w="1670" w:type="dxa"/>
            <w:tcBorders>
              <w:top w:val="single" w:sz="4" w:space="0" w:color="000000"/>
              <w:left w:val="single" w:sz="4" w:space="0" w:color="000000"/>
              <w:bottom w:val="single" w:sz="4" w:space="0" w:color="000000"/>
              <w:right w:val="single" w:sz="4" w:space="0" w:color="000000"/>
            </w:tcBorders>
            <w:vAlign w:val="center"/>
          </w:tcPr>
          <w:p w14:paraId="344299D5"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all deposition functionally explicable; 1: some deposition exceeds function (p &lt; 0.10); 2: consistent symbolic override of function (p &lt; 0.01)</w:t>
            </w:r>
          </w:p>
        </w:tc>
        <w:tc>
          <w:tcPr>
            <w:tcW w:w="888" w:type="dxa"/>
            <w:tcBorders>
              <w:top w:val="single" w:sz="4" w:space="0" w:color="000000"/>
              <w:left w:val="single" w:sz="4" w:space="0" w:color="000000"/>
              <w:bottom w:val="single" w:sz="4" w:space="0" w:color="000000"/>
              <w:right w:val="single" w:sz="4" w:space="0" w:color="000000"/>
            </w:tcBorders>
            <w:vAlign w:val="center"/>
          </w:tcPr>
          <w:p w14:paraId="7A1462D5"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r w:rsidR="0023539C" w14:paraId="3BA4FF88"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7D44C58"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Distributed Symbolic Authority</w:t>
            </w:r>
          </w:p>
        </w:tc>
        <w:tc>
          <w:tcPr>
            <w:tcW w:w="1418" w:type="dxa"/>
            <w:tcBorders>
              <w:top w:val="single" w:sz="4" w:space="0" w:color="000000"/>
              <w:left w:val="single" w:sz="4" w:space="0" w:color="000000"/>
              <w:bottom w:val="single" w:sz="4" w:space="0" w:color="000000"/>
              <w:right w:val="single" w:sz="4" w:space="0" w:color="000000"/>
            </w:tcBorders>
            <w:vAlign w:val="center"/>
          </w:tcPr>
          <w:p w14:paraId="1681A5F6"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Recurrent practices across geographically dispersed sites</w:t>
            </w:r>
          </w:p>
        </w:tc>
        <w:tc>
          <w:tcPr>
            <w:tcW w:w="1626" w:type="dxa"/>
            <w:tcBorders>
              <w:top w:val="single" w:sz="4" w:space="0" w:color="000000"/>
              <w:left w:val="single" w:sz="4" w:space="0" w:color="000000"/>
              <w:bottom w:val="single" w:sz="4" w:space="0" w:color="000000"/>
              <w:right w:val="single" w:sz="4" w:space="0" w:color="000000"/>
            </w:tcBorders>
            <w:vAlign w:val="center"/>
          </w:tcPr>
          <w:p w14:paraId="06C8879E"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Map repeated ritual/domestic patterns; inter-site similarity coefficient; exchange network radius</w:t>
            </w:r>
          </w:p>
        </w:tc>
        <w:tc>
          <w:tcPr>
            <w:tcW w:w="1630" w:type="dxa"/>
            <w:tcBorders>
              <w:top w:val="single" w:sz="4" w:space="0" w:color="000000"/>
              <w:left w:val="single" w:sz="4" w:space="0" w:color="000000"/>
              <w:bottom w:val="single" w:sz="4" w:space="0" w:color="000000"/>
              <w:right w:val="single" w:sz="4" w:space="0" w:color="000000"/>
            </w:tcBorders>
            <w:vAlign w:val="center"/>
          </w:tcPr>
          <w:p w14:paraId="5607632E"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site-specific only; 1: 2 sites showing similar patterns; 2: 3+ sites within &gt;50 km radius</w:t>
            </w:r>
          </w:p>
        </w:tc>
        <w:tc>
          <w:tcPr>
            <w:tcW w:w="1670" w:type="dxa"/>
            <w:tcBorders>
              <w:top w:val="single" w:sz="4" w:space="0" w:color="000000"/>
              <w:left w:val="single" w:sz="4" w:space="0" w:color="000000"/>
              <w:bottom w:val="single" w:sz="4" w:space="0" w:color="000000"/>
              <w:right w:val="single" w:sz="4" w:space="0" w:color="000000"/>
            </w:tcBorders>
            <w:vAlign w:val="center"/>
          </w:tcPr>
          <w:p w14:paraId="7474D10C"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inter-site similarity explicable by functional convergence; 1: some non-functional similarity; 2: inter-site similarity requires shared symbolic convention</w:t>
            </w:r>
          </w:p>
        </w:tc>
        <w:tc>
          <w:tcPr>
            <w:tcW w:w="888" w:type="dxa"/>
            <w:tcBorders>
              <w:top w:val="single" w:sz="4" w:space="0" w:color="000000"/>
              <w:left w:val="single" w:sz="4" w:space="0" w:color="000000"/>
              <w:bottom w:val="single" w:sz="4" w:space="0" w:color="000000"/>
              <w:right w:val="single" w:sz="4" w:space="0" w:color="000000"/>
            </w:tcBorders>
            <w:vAlign w:val="center"/>
          </w:tcPr>
          <w:p w14:paraId="4084A46F"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r w:rsidR="0023539C" w14:paraId="65DF81EC" w14:textId="77777777" w:rsidTr="004E637D">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3EBC9A4"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Portable Symbolic Anchors</w:t>
            </w:r>
          </w:p>
        </w:tc>
        <w:tc>
          <w:tcPr>
            <w:tcW w:w="1418" w:type="dxa"/>
            <w:tcBorders>
              <w:top w:val="single" w:sz="4" w:space="0" w:color="000000"/>
              <w:left w:val="single" w:sz="4" w:space="0" w:color="000000"/>
              <w:bottom w:val="single" w:sz="4" w:space="0" w:color="000000"/>
              <w:right w:val="single" w:sz="4" w:space="0" w:color="000000"/>
            </w:tcBorders>
            <w:vAlign w:val="center"/>
          </w:tcPr>
          <w:p w14:paraId="47A36C1F"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Objects as symbolic carriers; non-local materials in ritual contexts</w:t>
            </w:r>
          </w:p>
        </w:tc>
        <w:tc>
          <w:tcPr>
            <w:tcW w:w="1626" w:type="dxa"/>
            <w:tcBorders>
              <w:top w:val="single" w:sz="4" w:space="0" w:color="000000"/>
              <w:left w:val="single" w:sz="4" w:space="0" w:color="000000"/>
              <w:bottom w:val="single" w:sz="4" w:space="0" w:color="000000"/>
              <w:right w:val="single" w:sz="4" w:space="0" w:color="000000"/>
            </w:tcBorders>
            <w:vAlign w:val="center"/>
          </w:tcPr>
          <w:p w14:paraId="6377CF68"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XRF / isotopic provenance; typological comparison; standardisation index; network analysis</w:t>
            </w:r>
          </w:p>
        </w:tc>
        <w:tc>
          <w:tcPr>
            <w:tcW w:w="1630" w:type="dxa"/>
            <w:tcBorders>
              <w:top w:val="single" w:sz="4" w:space="0" w:color="000000"/>
              <w:left w:val="single" w:sz="4" w:space="0" w:color="000000"/>
              <w:bottom w:val="single" w:sz="4" w:space="0" w:color="000000"/>
              <w:right w:val="single" w:sz="4" w:space="0" w:color="000000"/>
            </w:tcBorders>
            <w:vAlign w:val="center"/>
          </w:tcPr>
          <w:p w14:paraId="065CA313"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absent; 1: present but unstandardised; 2: standardised, &gt;30% non-local materials, wide distribution</w:t>
            </w:r>
          </w:p>
        </w:tc>
        <w:tc>
          <w:tcPr>
            <w:tcW w:w="1670" w:type="dxa"/>
            <w:tcBorders>
              <w:top w:val="single" w:sz="4" w:space="0" w:color="000000"/>
              <w:left w:val="single" w:sz="4" w:space="0" w:color="000000"/>
              <w:bottom w:val="single" w:sz="4" w:space="0" w:color="000000"/>
              <w:right w:val="single" w:sz="4" w:space="0" w:color="000000"/>
            </w:tcBorders>
            <w:vAlign w:val="center"/>
          </w:tcPr>
          <w:p w14:paraId="2AE8BEA9"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0: portable objects explainable as prestige goods only; 1: some objects carry non-economic symbolic load; 2: objects function as inter-community symbolic media</w:t>
            </w:r>
          </w:p>
        </w:tc>
        <w:tc>
          <w:tcPr>
            <w:tcW w:w="888" w:type="dxa"/>
            <w:tcBorders>
              <w:top w:val="single" w:sz="4" w:space="0" w:color="000000"/>
              <w:left w:val="single" w:sz="4" w:space="0" w:color="000000"/>
              <w:bottom w:val="single" w:sz="4" w:space="0" w:color="000000"/>
              <w:right w:val="single" w:sz="4" w:space="0" w:color="000000"/>
            </w:tcBorders>
            <w:vAlign w:val="center"/>
          </w:tcPr>
          <w:p w14:paraId="3DE71A0F" w14:textId="77777777" w:rsidR="0023539C" w:rsidRPr="004E637D" w:rsidRDefault="0023539C" w:rsidP="00CA1D3C">
            <w:pPr>
              <w:ind w:firstLine="0"/>
              <w:jc w:val="center"/>
              <w:rPr>
                <w:rFonts w:ascii="Times New Roman" w:hAnsi="Times New Roman" w:cs="Times New Roman"/>
                <w:sz w:val="20"/>
                <w:szCs w:val="20"/>
              </w:rPr>
            </w:pPr>
            <w:r>
              <w:rPr>
                <w:rFonts w:ascii="Times New Roman" w:hAnsi="Times New Roman" w:cs="Times New Roman"/>
                <w:sz w:val="20"/>
                <w:szCs w:val="20"/>
              </w:rPr>
              <w:t>min(E,S)</w:t>
            </w:r>
          </w:p>
        </w:tc>
      </w:tr>
    </w:tbl>
    <w:p w14:paraId="4A8817B8" w14:textId="77777777" w:rsidR="0023539C" w:rsidRDefault="0023539C" w:rsidP="00CA1D3C">
      <w:pPr>
        <w:ind w:firstLine="0"/>
        <w:rPr>
          <w:rFonts w:ascii="Times New Roman" w:hAnsi="Times New Roman" w:cs="Times New Roman"/>
          <w:sz w:val="24"/>
          <w:szCs w:val="24"/>
        </w:rPr>
      </w:pPr>
    </w:p>
    <w:p w14:paraId="6202D7A4" w14:textId="77777777" w:rsidR="0023539C" w:rsidRDefault="00D535CB" w:rsidP="008A2B4C">
      <w:pPr>
        <w:keepNext/>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1A048530" wp14:editId="15ACB740">
            <wp:extent cx="5207000" cy="2159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7000" cy="2159000"/>
                    </a:xfrm>
                    <a:prstGeom prst="rect">
                      <a:avLst/>
                    </a:prstGeom>
                    <a:solidFill>
                      <a:srgbClr val="FFFFFF"/>
                    </a:solidFill>
                    <a:ln>
                      <a:noFill/>
                    </a:ln>
                  </pic:spPr>
                </pic:pic>
              </a:graphicData>
            </a:graphic>
          </wp:inline>
        </w:drawing>
      </w:r>
    </w:p>
    <w:p w14:paraId="22179AB4" w14:textId="77777777" w:rsidR="0023539C" w:rsidRPr="00466237" w:rsidRDefault="0023539C" w:rsidP="00466237">
      <w:pPr>
        <w:keepNext/>
        <w:ind w:firstLine="0"/>
        <w:jc w:val="center"/>
        <w:rPr>
          <w:rFonts w:ascii="Times New Roman" w:hAnsi="Times New Roman" w:cs="Times New Roman"/>
          <w:sz w:val="24"/>
          <w:szCs w:val="24"/>
        </w:rPr>
      </w:pPr>
      <w:r>
        <w:rPr>
          <w:rFonts w:ascii="Times New Roman" w:hAnsi="Times New Roman" w:cs="Times New Roman"/>
          <w:sz w:val="24"/>
          <w:szCs w:val="24"/>
        </w:rPr>
        <w:t>Figure 3. Left: 2D score space for the Egyptian sequence, showing the trajectory from Badarian (low E, low S) to Old Kingdom (max E, max S). Right: 2D scores for</w:t>
      </w:r>
      <w:r>
        <w:rPr>
          <w:rFonts w:ascii="Times New Roman" w:hAnsi="Times New Roman" w:cs="Times New Roman"/>
          <w:i/>
          <w:iCs/>
          <w:sz w:val="24"/>
          <w:szCs w:val="24"/>
        </w:rPr>
        <w:t xml:space="preserve"> positive </w:t>
      </w:r>
      <w:r>
        <w:rPr>
          <w:rFonts w:ascii="Times New Roman" w:hAnsi="Times New Roman" w:cs="Times New Roman"/>
          <w:sz w:val="24"/>
          <w:szCs w:val="24"/>
        </w:rPr>
        <w:t>and negative cases, demonstrating that S-axis weakness (Stage 3 absence) reliably discriminates state-forming from non-state-forming regions.</w:t>
      </w:r>
    </w:p>
    <w:p w14:paraId="5E86ADFE" w14:textId="77777777" w:rsidR="00466237" w:rsidRDefault="00466237" w:rsidP="00466237">
      <w:pPr>
        <w:keepNext/>
        <w:ind w:firstLine="0"/>
        <w:rPr>
          <w:rFonts w:ascii="Times New Roman" w:hAnsi="Times New Roman" w:cs="Times New Roman"/>
          <w:b/>
          <w:bCs/>
          <w:sz w:val="26"/>
          <w:szCs w:val="26"/>
        </w:rPr>
      </w:pPr>
    </w:p>
    <w:p w14:paraId="7E96A2FC" w14:textId="78653A9E" w:rsidR="0023539C" w:rsidRDefault="0023539C" w:rsidP="00466237">
      <w:pPr>
        <w:keepNext/>
        <w:ind w:firstLine="0"/>
        <w:rPr>
          <w:rFonts w:ascii="Times New Roman" w:hAnsi="Times New Roman" w:cs="Times New Roman"/>
          <w:b/>
          <w:bCs/>
          <w:sz w:val="26"/>
          <w:szCs w:val="26"/>
        </w:rPr>
      </w:pPr>
      <w:r>
        <w:rPr>
          <w:rFonts w:ascii="Times New Roman" w:hAnsi="Times New Roman" w:cs="Times New Roman"/>
          <w:b/>
          <w:bCs/>
          <w:sz w:val="26"/>
          <w:szCs w:val="26"/>
        </w:rPr>
        <w:t>3.3 Quantitative Thresholds and Statistical Criteria</w:t>
      </w:r>
    </w:p>
    <w:p w14:paraId="73F79534" w14:textId="77777777" w:rsidR="0023539C" w:rsidRPr="00466237" w:rsidRDefault="0023539C" w:rsidP="008A2B4C">
      <w:pPr>
        <w:rPr>
          <w:rFonts w:asciiTheme="majorBidi" w:hAnsiTheme="majorBidi" w:cstheme="majorBidi"/>
          <w:sz w:val="24"/>
          <w:szCs w:val="24"/>
        </w:rPr>
      </w:pPr>
      <w:r>
        <w:rPr>
          <w:rFonts w:asciiTheme="majorBidi" w:hAnsiTheme="majorBidi" w:cstheme="majorBidi"/>
          <w:sz w:val="24"/>
          <w:szCs w:val="24"/>
        </w:rPr>
        <w:t>The CV thresholds (&lt; 0.25 for Stage 2 onset; &lt; 0.15 for Stage 3 completion) are derived from the empirical distribution of CV values in well-documented standardized assemblages reviewed by Stevenson (2016) and Lycett &amp; Chauhan (2019)</w:t>
      </w:r>
      <w:r>
        <w:rPr>
          <w:rStyle w:val="FootnoteReference"/>
          <w:rFonts w:asciiTheme="majorBidi" w:hAnsiTheme="majorBidi" w:cstheme="majorBidi"/>
          <w:sz w:val="24"/>
          <w:szCs w:val="24"/>
        </w:rPr>
        <w:footnoteReference w:id="36"/>
      </w:r>
      <w:r>
        <w:rPr>
          <w:rFonts w:asciiTheme="majorBidi" w:hAnsiTheme="majorBidi" w:cstheme="majorBidi"/>
          <w:sz w:val="24"/>
          <w:szCs w:val="24"/>
        </w:rPr>
        <w:t>. These thresholds apply to the Evidence Strength (E) dimension; the Symbolic Specificity (S) dimension requires a separate test of whether the declining CV can be accounted for by functional efficiency considerations (e.g., craft specialization for purely economic purposes) or whether it requires an appeal to shared symbolic conventions. The chi-square test against a null functional model (p &lt; 0.01 for S = 2; p &lt; 0.10 for S = 1) provides the statistical criterion for the S dimension for the Symbolic Regulation observable. For other observables, S is assessed through the presence or absence of non-local materials, non-utilitarian contexts, canonical motif forms, and inter-site similarity coefficients exceeding those predicted by functional exchange models.</w:t>
      </w:r>
    </w:p>
    <w:p w14:paraId="7C23EF3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minimum rule has a specific empirical implication: across the Egyptian sequence, the Badarian period receives E = avg 1.3 and S = avg 0.9, yielding min(E, S) = avg 1.1. This is not a failure of the framework; it is an accurate reflection of the interpretive situation. The evidence for Badarian symbolic practice is present but thin, and its symbolic interpretation — while plausible — is less secure than for later periods where the symbolic vocabulary is documented in multiple independent media. The 2D score communicates this nuance directly, rather than obscuring it behind a single number.</w:t>
      </w:r>
    </w:p>
    <w:p w14:paraId="38BC7990" w14:textId="77777777" w:rsidR="00253E6E" w:rsidRDefault="00253E6E" w:rsidP="00253E6E">
      <w:pPr>
        <w:keepNext/>
        <w:ind w:firstLine="0"/>
        <w:rPr>
          <w:rFonts w:ascii="Times New Roman" w:hAnsi="Times New Roman" w:cs="Times New Roman"/>
          <w:b/>
          <w:bCs/>
          <w:sz w:val="26"/>
          <w:szCs w:val="26"/>
        </w:rPr>
      </w:pPr>
    </w:p>
    <w:p w14:paraId="099DE10A" w14:textId="589DCC89" w:rsidR="0023539C" w:rsidRDefault="0023539C" w:rsidP="00253E6E">
      <w:pPr>
        <w:keepNext/>
        <w:ind w:firstLine="0"/>
        <w:rPr>
          <w:rFonts w:ascii="Times New Roman" w:hAnsi="Times New Roman" w:cs="Times New Roman"/>
          <w:b/>
          <w:bCs/>
          <w:sz w:val="26"/>
          <w:szCs w:val="26"/>
        </w:rPr>
      </w:pPr>
      <w:r>
        <w:rPr>
          <w:rFonts w:ascii="Times New Roman" w:hAnsi="Times New Roman" w:cs="Times New Roman"/>
          <w:b/>
          <w:bCs/>
          <w:sz w:val="26"/>
          <w:szCs w:val="26"/>
        </w:rPr>
        <w:t>3.4 Inter-Rater Reliability: Pilot Study</w:t>
      </w:r>
    </w:p>
    <w:p w14:paraId="08CEE31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A scoring instrument applied exclusively by its originator cannot be evaluated for reliability. To provide a minimum reliability estimate for the FCP, a pilot inter-rater study was conducted with one independent rater (a graduate-level researcher in cognitive archaeology with no prior exposure to DSSM). The rater received the FCP scoring criteria in Table 2, a one-page operational guide derived from the published Field Companion Protocol</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and a structured scoring sheet. No instruction in DSSM theory or expected outcomes was provided. The rater scored thirty assemblage contexts drawn from five of the six Egyptian periods covered in Table 3 (Badarian excluded due to limited published assemblage granularity), across all six FCP observables, independently and without access to the author’s scores.</w:t>
      </w:r>
    </w:p>
    <w:p w14:paraId="03EA0A5A" w14:textId="77777777" w:rsidR="0023539C" w:rsidRPr="00253E6E" w:rsidRDefault="0023539C" w:rsidP="008A2B4C">
      <w:pPr>
        <w:rPr>
          <w:rFonts w:asciiTheme="majorBidi" w:hAnsiTheme="majorBidi" w:cstheme="majorBidi"/>
          <w:sz w:val="24"/>
          <w:szCs w:val="24"/>
        </w:rPr>
      </w:pPr>
      <w:r>
        <w:rPr>
          <w:rFonts w:asciiTheme="majorBidi" w:hAnsiTheme="majorBidi" w:cstheme="majorBidi"/>
          <w:sz w:val="24"/>
          <w:szCs w:val="24"/>
        </w:rPr>
        <w:t>Agreement was calculated using Cohen’s kappa (κ) for ordinal categorical data (0, 1, 2 per axis). Results: E-axis κ = 0.74 (substantial agreement); S-axis κ = 0.68 (substantial agreement); overall κ = 0.71 (substantial agreement; Landis &amp; Koch, 1977</w:t>
      </w:r>
      <w:r>
        <w:rPr>
          <w:rStyle w:val="FootnoteReference"/>
          <w:rFonts w:asciiTheme="majorBidi" w:hAnsiTheme="majorBidi" w:cstheme="majorBidi"/>
          <w:sz w:val="24"/>
          <w:szCs w:val="24"/>
        </w:rPr>
        <w:footnoteReference w:id="38"/>
      </w:r>
      <w:r>
        <w:rPr>
          <w:rFonts w:asciiTheme="majorBidi" w:hAnsiTheme="majorBidi" w:cstheme="majorBidi"/>
          <w:sz w:val="24"/>
          <w:szCs w:val="24"/>
        </w:rPr>
        <w:t>). Disagreements concentrated in two observable-period combinations: (a) the Symbolic Stabilization S-axis for Naqada I, where the rater scored S = 1 and the author scored S = 2, reflecting genuine interpretive ambiguity about whether Naqada I ceramic CV decline requires a symbolic transmission account; and (b) the Mnemonic Architectures E-axis for Naqada II, where the rater scored E = 1 citing limited spatial mapping data from HK29A. Both disagreements identify observables where scoring criteria require further operationalization in the next instrument revision.</w:t>
      </w:r>
    </w:p>
    <w:p w14:paraId="449BC5E2" w14:textId="77777777" w:rsidR="0023539C" w:rsidRDefault="0023539C" w:rsidP="008A2B4C">
      <w:pPr>
        <w:rPr>
          <w:rFonts w:ascii="Times New Roman" w:hAnsi="Times New Roman" w:cs="Times New Roman"/>
          <w:sz w:val="24"/>
          <w:szCs w:val="24"/>
        </w:rPr>
      </w:pPr>
      <w:r>
        <w:rPr>
          <w:rFonts w:asciiTheme="majorBidi" w:hAnsiTheme="majorBidi" w:cstheme="majorBidi"/>
          <w:sz w:val="24"/>
          <w:szCs w:val="24"/>
        </w:rPr>
        <w:t>These results provide a minimum reliability floor for</w:t>
      </w:r>
      <w:r>
        <w:rPr>
          <w:rFonts w:ascii="Times New Roman" w:hAnsi="Times New Roman" w:cs="Times New Roman"/>
          <w:sz w:val="24"/>
          <w:szCs w:val="24"/>
        </w:rPr>
        <w:t xml:space="preserve"> the FCP, sufficient to proceed with the present theoretical analysis. They do not constitute full validation. Multi-rater studies across diverse regional case studies and archaeological specialisms are required before the FCP can be used as a standardized comparative instrument by independent researchers. This remains a priority empirical agenda (Section 7.3). The pilot finding that substantial inter-rater agreement is achievable after brief training on published FCP criteria — without DSSM theory instruction — supports the instrument’s design principle of theory-free empirical observables</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w:t>
      </w:r>
    </w:p>
    <w:p w14:paraId="04A190D0" w14:textId="77777777" w:rsidR="00253E6E" w:rsidRDefault="00253E6E" w:rsidP="00253E6E">
      <w:pPr>
        <w:keepNext/>
        <w:ind w:firstLine="0"/>
        <w:rPr>
          <w:rFonts w:ascii="Times New Roman" w:hAnsi="Times New Roman" w:cs="Times New Roman"/>
          <w:b/>
          <w:bCs/>
          <w:sz w:val="26"/>
          <w:szCs w:val="26"/>
        </w:rPr>
      </w:pPr>
    </w:p>
    <w:p w14:paraId="270348DE" w14:textId="007431A7" w:rsidR="0023539C" w:rsidRDefault="0023539C" w:rsidP="00253E6E">
      <w:pPr>
        <w:keepNext/>
        <w:ind w:firstLine="0"/>
        <w:rPr>
          <w:rFonts w:ascii="Times New Roman" w:hAnsi="Times New Roman" w:cs="Times New Roman"/>
          <w:b/>
          <w:bCs/>
          <w:sz w:val="26"/>
          <w:szCs w:val="26"/>
        </w:rPr>
      </w:pPr>
      <w:r>
        <w:rPr>
          <w:rFonts w:ascii="Times New Roman" w:hAnsi="Times New Roman" w:cs="Times New Roman"/>
          <w:b/>
          <w:bCs/>
          <w:sz w:val="26"/>
          <w:szCs w:val="26"/>
        </w:rPr>
        <w:t>4. Cognitive Foundations of Early Egyptian Civilization</w:t>
      </w:r>
    </w:p>
    <w:p w14:paraId="440F375A" w14:textId="77777777" w:rsidR="0023539C" w:rsidRDefault="0023539C" w:rsidP="00253E6E">
      <w:pPr>
        <w:keepNext/>
        <w:ind w:firstLine="0"/>
        <w:rPr>
          <w:rFonts w:ascii="Times New Roman" w:hAnsi="Times New Roman" w:cs="Times New Roman"/>
          <w:b/>
          <w:bCs/>
          <w:sz w:val="26"/>
          <w:szCs w:val="26"/>
        </w:rPr>
      </w:pPr>
      <w:r>
        <w:rPr>
          <w:rFonts w:ascii="Times New Roman" w:hAnsi="Times New Roman" w:cs="Times New Roman"/>
          <w:b/>
          <w:bCs/>
          <w:sz w:val="26"/>
          <w:szCs w:val="26"/>
        </w:rPr>
        <w:t>4.1 Scoring Methodology and Interpretive Principles</w:t>
      </w:r>
    </w:p>
    <w:p w14:paraId="16CB553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All Egyptian period 2D scores in Table 3 are generated using the FCP defined in Section 3. Table 3a (below) provides the full per-observable E and S score breakdowns for each period; the totals in Table 3 represent the sum of min(E,S) across all six observables. This disaggregated presentation allows readers to evaluate the scoring instrument’s internal consistency and identify which observables drive score changes at each transition. The scoring trajectory — 4.5/12 at Badarian, 6.5/12 at Naqada I, 8.5/12 at Naqada II, 10/12 at Naqada III, 11/12 at Early Dynastic, 12/12 at Old Kingdom — is the primary finding. It demonstrates the gradual, non-punctuated accumulation of symbolic stabilization that DSSM predicts. Any model that produced uniform maximum scores across all periods would be demonstrating circular confirmation; the variance in these scores is the evidence that the instrument is measuring something rather than confirming assumptions.</w:t>
      </w:r>
    </w:p>
    <w:p w14:paraId="330FD1FD" w14:textId="77777777" w:rsidR="00253E6E" w:rsidRDefault="00253E6E" w:rsidP="008A2B4C">
      <w:pPr>
        <w:rPr>
          <w:rFonts w:ascii="Times New Roman" w:hAnsi="Times New Roman" w:cs="Times New Roman"/>
          <w:b/>
          <w:bCs/>
          <w:sz w:val="24"/>
          <w:szCs w:val="24"/>
        </w:rPr>
      </w:pPr>
    </w:p>
    <w:p w14:paraId="1190A01C" w14:textId="23A95ADF" w:rsidR="0023539C" w:rsidRDefault="0023539C" w:rsidP="008A2B4C">
      <w:pPr>
        <w:rPr>
          <w:rFonts w:ascii="Times New Roman" w:hAnsi="Times New Roman" w:cs="Times New Roman"/>
          <w:b/>
          <w:sz w:val="24"/>
          <w:szCs w:val="24"/>
        </w:rPr>
      </w:pPr>
      <w:r>
        <w:rPr>
          <w:rFonts w:ascii="Times New Roman" w:hAnsi="Times New Roman" w:cs="Times New Roman"/>
          <w:b/>
          <w:bCs/>
          <w:sz w:val="24"/>
          <w:szCs w:val="24"/>
        </w:rPr>
        <w:t>Table 3a. Per-Observable FCP Score Breakdown by Period (E = Evidence Strength; S = Symbolic Specificity; min = min(E,S); max per observable = 2)</w:t>
      </w:r>
    </w:p>
    <w:tbl>
      <w:tblPr>
        <w:tblW w:w="0" w:type="auto"/>
        <w:jc w:val="center"/>
        <w:tblLayout w:type="fixed"/>
        <w:tblCellMar>
          <w:top w:w="60" w:type="dxa"/>
          <w:left w:w="80" w:type="dxa"/>
          <w:bottom w:w="60" w:type="dxa"/>
          <w:right w:w="80" w:type="dxa"/>
        </w:tblCellMar>
        <w:tblLook w:val="0000" w:firstRow="0" w:lastRow="0" w:firstColumn="0" w:lastColumn="0" w:noHBand="0" w:noVBand="0"/>
      </w:tblPr>
      <w:tblGrid>
        <w:gridCol w:w="1067"/>
        <w:gridCol w:w="1403"/>
        <w:gridCol w:w="1402"/>
        <w:gridCol w:w="1402"/>
        <w:gridCol w:w="1402"/>
        <w:gridCol w:w="1401"/>
        <w:gridCol w:w="1122"/>
      </w:tblGrid>
      <w:tr w:rsidR="0023539C" w14:paraId="55E9E2C5" w14:textId="77777777">
        <w:trPr>
          <w:tblHeader/>
          <w:jc w:val="center"/>
        </w:trPr>
        <w:tc>
          <w:tcPr>
            <w:tcW w:w="1067" w:type="dxa"/>
            <w:tcBorders>
              <w:top w:val="single" w:sz="4" w:space="0" w:color="000000"/>
              <w:left w:val="single" w:sz="4" w:space="0" w:color="000000"/>
              <w:bottom w:val="single" w:sz="4" w:space="0" w:color="000000"/>
              <w:right w:val="single" w:sz="4" w:space="0" w:color="000000"/>
            </w:tcBorders>
          </w:tcPr>
          <w:p w14:paraId="745AFB14"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Period</w:t>
            </w:r>
          </w:p>
        </w:tc>
        <w:tc>
          <w:tcPr>
            <w:tcW w:w="1403" w:type="dxa"/>
            <w:tcBorders>
              <w:top w:val="single" w:sz="4" w:space="0" w:color="000000"/>
              <w:left w:val="single" w:sz="4" w:space="0" w:color="000000"/>
              <w:bottom w:val="single" w:sz="4" w:space="0" w:color="000000"/>
              <w:right w:val="single" w:sz="4" w:space="0" w:color="000000"/>
            </w:tcBorders>
          </w:tcPr>
          <w:p w14:paraId="615F3536"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Mnemonic Arch. E/S/min</w:t>
            </w:r>
          </w:p>
        </w:tc>
        <w:tc>
          <w:tcPr>
            <w:tcW w:w="1402" w:type="dxa"/>
            <w:tcBorders>
              <w:top w:val="single" w:sz="4" w:space="0" w:color="000000"/>
              <w:left w:val="single" w:sz="4" w:space="0" w:color="000000"/>
              <w:bottom w:val="single" w:sz="4" w:space="0" w:color="000000"/>
              <w:right w:val="single" w:sz="4" w:space="0" w:color="000000"/>
            </w:tcBorders>
          </w:tcPr>
          <w:p w14:paraId="1C8937B4"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Symbolic Stab. E/S/min</w:t>
            </w:r>
          </w:p>
        </w:tc>
        <w:tc>
          <w:tcPr>
            <w:tcW w:w="1402" w:type="dxa"/>
            <w:tcBorders>
              <w:top w:val="single" w:sz="4" w:space="0" w:color="000000"/>
              <w:left w:val="single" w:sz="4" w:space="0" w:color="000000"/>
              <w:bottom w:val="single" w:sz="4" w:space="0" w:color="000000"/>
              <w:right w:val="single" w:sz="4" w:space="0" w:color="000000"/>
            </w:tcBorders>
          </w:tcPr>
          <w:p w14:paraId="572ABB1F"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Extern. Cognition E/S/min</w:t>
            </w:r>
          </w:p>
        </w:tc>
        <w:tc>
          <w:tcPr>
            <w:tcW w:w="1402" w:type="dxa"/>
            <w:tcBorders>
              <w:top w:val="single" w:sz="4" w:space="0" w:color="000000"/>
              <w:left w:val="single" w:sz="4" w:space="0" w:color="000000"/>
              <w:bottom w:val="single" w:sz="4" w:space="0" w:color="000000"/>
              <w:right w:val="single" w:sz="4" w:space="0" w:color="000000"/>
            </w:tcBorders>
          </w:tcPr>
          <w:p w14:paraId="1D598016"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Symbolic Reg. E/S/min</w:t>
            </w:r>
          </w:p>
        </w:tc>
        <w:tc>
          <w:tcPr>
            <w:tcW w:w="1401" w:type="dxa"/>
            <w:tcBorders>
              <w:top w:val="single" w:sz="4" w:space="0" w:color="000000"/>
              <w:left w:val="single" w:sz="4" w:space="0" w:color="000000"/>
              <w:bottom w:val="single" w:sz="4" w:space="0" w:color="000000"/>
              <w:right w:val="single" w:sz="4" w:space="0" w:color="000000"/>
            </w:tcBorders>
          </w:tcPr>
          <w:p w14:paraId="0D938E15"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Distrib. Auth. E/S/min</w:t>
            </w:r>
          </w:p>
        </w:tc>
        <w:tc>
          <w:tcPr>
            <w:tcW w:w="1122" w:type="dxa"/>
            <w:tcBorders>
              <w:top w:val="single" w:sz="4" w:space="0" w:color="000000"/>
              <w:left w:val="single" w:sz="4" w:space="0" w:color="000000"/>
              <w:bottom w:val="single" w:sz="4" w:space="0" w:color="000000"/>
              <w:right w:val="single" w:sz="4" w:space="0" w:color="000000"/>
            </w:tcBorders>
          </w:tcPr>
          <w:p w14:paraId="70BE770B" w14:textId="77777777" w:rsidR="0023539C" w:rsidRPr="00253E6E" w:rsidRDefault="0023539C" w:rsidP="00253E6E">
            <w:pPr>
              <w:ind w:firstLine="0"/>
              <w:jc w:val="center"/>
              <w:rPr>
                <w:rFonts w:ascii="Times New Roman" w:hAnsi="Times New Roman" w:cs="Times New Roman"/>
              </w:rPr>
            </w:pPr>
            <w:r>
              <w:rPr>
                <w:rFonts w:ascii="Times New Roman" w:hAnsi="Times New Roman" w:cs="Times New Roman"/>
                <w:b/>
              </w:rPr>
              <w:t>Port. Anchors E/S/min</w:t>
            </w:r>
          </w:p>
        </w:tc>
      </w:tr>
      <w:tr w:rsidR="0023539C" w14:paraId="01EF43B1"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08AD907D"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Badarian 4500–4000</w:t>
            </w:r>
          </w:p>
        </w:tc>
        <w:tc>
          <w:tcPr>
            <w:tcW w:w="1403" w:type="dxa"/>
            <w:tcBorders>
              <w:top w:val="single" w:sz="4" w:space="0" w:color="000000"/>
              <w:left w:val="single" w:sz="4" w:space="0" w:color="000000"/>
              <w:bottom w:val="single" w:sz="4" w:space="0" w:color="000000"/>
              <w:right w:val="single" w:sz="4" w:space="0" w:color="000000"/>
            </w:tcBorders>
          </w:tcPr>
          <w:p w14:paraId="058CB4A0"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1/1/1</w:t>
            </w:r>
          </w:p>
        </w:tc>
        <w:tc>
          <w:tcPr>
            <w:tcW w:w="1402" w:type="dxa"/>
            <w:tcBorders>
              <w:top w:val="single" w:sz="4" w:space="0" w:color="000000"/>
              <w:left w:val="single" w:sz="4" w:space="0" w:color="000000"/>
              <w:bottom w:val="single" w:sz="4" w:space="0" w:color="000000"/>
              <w:right w:val="single" w:sz="4" w:space="0" w:color="000000"/>
            </w:tcBorders>
          </w:tcPr>
          <w:p w14:paraId="01FA0DDC"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1/1/1</w:t>
            </w:r>
          </w:p>
        </w:tc>
        <w:tc>
          <w:tcPr>
            <w:tcW w:w="1402" w:type="dxa"/>
            <w:tcBorders>
              <w:top w:val="single" w:sz="4" w:space="0" w:color="000000"/>
              <w:left w:val="single" w:sz="4" w:space="0" w:color="000000"/>
              <w:bottom w:val="single" w:sz="4" w:space="0" w:color="000000"/>
              <w:right w:val="single" w:sz="4" w:space="0" w:color="000000"/>
            </w:tcBorders>
          </w:tcPr>
          <w:p w14:paraId="70F25915"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1/0/0</w:t>
            </w:r>
          </w:p>
        </w:tc>
        <w:tc>
          <w:tcPr>
            <w:tcW w:w="1402" w:type="dxa"/>
            <w:tcBorders>
              <w:top w:val="single" w:sz="4" w:space="0" w:color="000000"/>
              <w:left w:val="single" w:sz="4" w:space="0" w:color="000000"/>
              <w:bottom w:val="single" w:sz="4" w:space="0" w:color="000000"/>
              <w:right w:val="single" w:sz="4" w:space="0" w:color="000000"/>
            </w:tcBorders>
          </w:tcPr>
          <w:p w14:paraId="1C506242"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1/1/1</w:t>
            </w:r>
          </w:p>
        </w:tc>
        <w:tc>
          <w:tcPr>
            <w:tcW w:w="1401" w:type="dxa"/>
            <w:tcBorders>
              <w:top w:val="single" w:sz="4" w:space="0" w:color="000000"/>
              <w:left w:val="single" w:sz="4" w:space="0" w:color="000000"/>
              <w:bottom w:val="single" w:sz="4" w:space="0" w:color="000000"/>
              <w:right w:val="single" w:sz="4" w:space="0" w:color="000000"/>
            </w:tcBorders>
          </w:tcPr>
          <w:p w14:paraId="52D65079"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1/1/1</w:t>
            </w:r>
          </w:p>
        </w:tc>
        <w:tc>
          <w:tcPr>
            <w:tcW w:w="1122" w:type="dxa"/>
            <w:tcBorders>
              <w:top w:val="single" w:sz="4" w:space="0" w:color="000000"/>
              <w:left w:val="single" w:sz="4" w:space="0" w:color="000000"/>
              <w:bottom w:val="single" w:sz="4" w:space="0" w:color="000000"/>
              <w:right w:val="single" w:sz="4" w:space="0" w:color="000000"/>
            </w:tcBorders>
          </w:tcPr>
          <w:p w14:paraId="02DA0B47"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2/0/0</w:t>
            </w:r>
          </w:p>
        </w:tc>
      </w:tr>
      <w:tr w:rsidR="0023539C" w14:paraId="50976E30"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530486D0"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Naqada I 4000–3500</w:t>
            </w:r>
          </w:p>
        </w:tc>
        <w:tc>
          <w:tcPr>
            <w:tcW w:w="1403" w:type="dxa"/>
            <w:tcBorders>
              <w:top w:val="single" w:sz="4" w:space="0" w:color="000000"/>
              <w:left w:val="single" w:sz="4" w:space="0" w:color="000000"/>
              <w:bottom w:val="single" w:sz="4" w:space="0" w:color="000000"/>
              <w:right w:val="single" w:sz="4" w:space="0" w:color="000000"/>
            </w:tcBorders>
          </w:tcPr>
          <w:p w14:paraId="6FB4BC29"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c>
          <w:tcPr>
            <w:tcW w:w="1402" w:type="dxa"/>
            <w:tcBorders>
              <w:top w:val="single" w:sz="4" w:space="0" w:color="000000"/>
              <w:left w:val="single" w:sz="4" w:space="0" w:color="000000"/>
              <w:bottom w:val="single" w:sz="4" w:space="0" w:color="000000"/>
              <w:right w:val="single" w:sz="4" w:space="0" w:color="000000"/>
            </w:tcBorders>
          </w:tcPr>
          <w:p w14:paraId="03A36AF5"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c>
          <w:tcPr>
            <w:tcW w:w="1402" w:type="dxa"/>
            <w:tcBorders>
              <w:top w:val="single" w:sz="4" w:space="0" w:color="000000"/>
              <w:left w:val="single" w:sz="4" w:space="0" w:color="000000"/>
              <w:bottom w:val="single" w:sz="4" w:space="0" w:color="000000"/>
              <w:right w:val="single" w:sz="4" w:space="0" w:color="000000"/>
            </w:tcBorders>
          </w:tcPr>
          <w:p w14:paraId="2F4AE86F"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1/1/1</w:t>
            </w:r>
          </w:p>
        </w:tc>
        <w:tc>
          <w:tcPr>
            <w:tcW w:w="1402" w:type="dxa"/>
            <w:tcBorders>
              <w:top w:val="single" w:sz="4" w:space="0" w:color="000000"/>
              <w:left w:val="single" w:sz="4" w:space="0" w:color="000000"/>
              <w:bottom w:val="single" w:sz="4" w:space="0" w:color="000000"/>
              <w:right w:val="single" w:sz="4" w:space="0" w:color="000000"/>
            </w:tcBorders>
          </w:tcPr>
          <w:p w14:paraId="67C3C356"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1" w:type="dxa"/>
            <w:tcBorders>
              <w:top w:val="single" w:sz="4" w:space="0" w:color="000000"/>
              <w:left w:val="single" w:sz="4" w:space="0" w:color="000000"/>
              <w:bottom w:val="single" w:sz="4" w:space="0" w:color="000000"/>
              <w:right w:val="single" w:sz="4" w:space="0" w:color="000000"/>
            </w:tcBorders>
          </w:tcPr>
          <w:p w14:paraId="5C29B25A"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c>
          <w:tcPr>
            <w:tcW w:w="1122" w:type="dxa"/>
            <w:tcBorders>
              <w:top w:val="single" w:sz="4" w:space="0" w:color="000000"/>
              <w:left w:val="single" w:sz="4" w:space="0" w:color="000000"/>
              <w:bottom w:val="single" w:sz="4" w:space="0" w:color="000000"/>
              <w:right w:val="single" w:sz="4" w:space="0" w:color="000000"/>
            </w:tcBorders>
          </w:tcPr>
          <w:p w14:paraId="46AC070E"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r>
      <w:tr w:rsidR="0023539C" w14:paraId="710DBD35"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5C6B19ED"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Naqada II 3500–3200</w:t>
            </w:r>
          </w:p>
        </w:tc>
        <w:tc>
          <w:tcPr>
            <w:tcW w:w="1403" w:type="dxa"/>
            <w:tcBorders>
              <w:top w:val="single" w:sz="4" w:space="0" w:color="000000"/>
              <w:left w:val="single" w:sz="4" w:space="0" w:color="000000"/>
              <w:bottom w:val="single" w:sz="4" w:space="0" w:color="000000"/>
              <w:right w:val="single" w:sz="4" w:space="0" w:color="000000"/>
            </w:tcBorders>
          </w:tcPr>
          <w:p w14:paraId="13CE87EB"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75410EA5"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c>
          <w:tcPr>
            <w:tcW w:w="1402" w:type="dxa"/>
            <w:tcBorders>
              <w:top w:val="single" w:sz="4" w:space="0" w:color="000000"/>
              <w:left w:val="single" w:sz="4" w:space="0" w:color="000000"/>
              <w:bottom w:val="single" w:sz="4" w:space="0" w:color="000000"/>
              <w:right w:val="single" w:sz="4" w:space="0" w:color="000000"/>
            </w:tcBorders>
          </w:tcPr>
          <w:p w14:paraId="5BDBCCB2"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1A48B324"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1" w:type="dxa"/>
            <w:tcBorders>
              <w:top w:val="single" w:sz="4" w:space="0" w:color="000000"/>
              <w:left w:val="single" w:sz="4" w:space="0" w:color="000000"/>
              <w:bottom w:val="single" w:sz="4" w:space="0" w:color="000000"/>
              <w:right w:val="single" w:sz="4" w:space="0" w:color="000000"/>
            </w:tcBorders>
          </w:tcPr>
          <w:p w14:paraId="720D23D2"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122" w:type="dxa"/>
            <w:tcBorders>
              <w:top w:val="single" w:sz="4" w:space="0" w:color="000000"/>
              <w:left w:val="single" w:sz="4" w:space="0" w:color="000000"/>
              <w:bottom w:val="single" w:sz="4" w:space="0" w:color="000000"/>
              <w:right w:val="single" w:sz="4" w:space="0" w:color="000000"/>
            </w:tcBorders>
          </w:tcPr>
          <w:p w14:paraId="7D2434E2"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r>
      <w:tr w:rsidR="0023539C" w14:paraId="70392A4D"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372084E1"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Naqada III 3200–3100</w:t>
            </w:r>
          </w:p>
        </w:tc>
        <w:tc>
          <w:tcPr>
            <w:tcW w:w="1403" w:type="dxa"/>
            <w:tcBorders>
              <w:top w:val="single" w:sz="4" w:space="0" w:color="000000"/>
              <w:left w:val="single" w:sz="4" w:space="0" w:color="000000"/>
              <w:bottom w:val="single" w:sz="4" w:space="0" w:color="000000"/>
              <w:right w:val="single" w:sz="4" w:space="0" w:color="000000"/>
            </w:tcBorders>
          </w:tcPr>
          <w:p w14:paraId="7596717E"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278CF319"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6556D761"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4F918126"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1" w:type="dxa"/>
            <w:tcBorders>
              <w:top w:val="single" w:sz="4" w:space="0" w:color="000000"/>
              <w:left w:val="single" w:sz="4" w:space="0" w:color="000000"/>
              <w:bottom w:val="single" w:sz="4" w:space="0" w:color="000000"/>
              <w:right w:val="single" w:sz="4" w:space="0" w:color="000000"/>
            </w:tcBorders>
          </w:tcPr>
          <w:p w14:paraId="1C1471A3"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122" w:type="dxa"/>
            <w:tcBorders>
              <w:top w:val="single" w:sz="4" w:space="0" w:color="000000"/>
              <w:left w:val="single" w:sz="4" w:space="0" w:color="000000"/>
              <w:bottom w:val="single" w:sz="4" w:space="0" w:color="000000"/>
              <w:right w:val="single" w:sz="4" w:space="0" w:color="000000"/>
            </w:tcBorders>
          </w:tcPr>
          <w:p w14:paraId="57584418"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2/0/0</w:t>
            </w:r>
          </w:p>
        </w:tc>
      </w:tr>
      <w:tr w:rsidR="0023539C" w14:paraId="35608E40"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5C18C727"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Early Dynastic 3100–2650</w:t>
            </w:r>
          </w:p>
        </w:tc>
        <w:tc>
          <w:tcPr>
            <w:tcW w:w="1403" w:type="dxa"/>
            <w:tcBorders>
              <w:top w:val="single" w:sz="4" w:space="0" w:color="000000"/>
              <w:left w:val="single" w:sz="4" w:space="0" w:color="000000"/>
              <w:bottom w:val="single" w:sz="4" w:space="0" w:color="000000"/>
              <w:right w:val="single" w:sz="4" w:space="0" w:color="000000"/>
            </w:tcBorders>
          </w:tcPr>
          <w:p w14:paraId="3D9D14AF"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4E2F5E88"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0A4A62E6"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62C0BCB6"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1" w:type="dxa"/>
            <w:tcBorders>
              <w:top w:val="single" w:sz="4" w:space="0" w:color="000000"/>
              <w:left w:val="single" w:sz="4" w:space="0" w:color="000000"/>
              <w:bottom w:val="single" w:sz="4" w:space="0" w:color="000000"/>
              <w:right w:val="single" w:sz="4" w:space="0" w:color="000000"/>
            </w:tcBorders>
          </w:tcPr>
          <w:p w14:paraId="171483F0"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122" w:type="dxa"/>
            <w:tcBorders>
              <w:top w:val="single" w:sz="4" w:space="0" w:color="000000"/>
              <w:left w:val="single" w:sz="4" w:space="0" w:color="000000"/>
              <w:bottom w:val="single" w:sz="4" w:space="0" w:color="000000"/>
              <w:right w:val="single" w:sz="4" w:space="0" w:color="000000"/>
            </w:tcBorders>
          </w:tcPr>
          <w:p w14:paraId="09163E4C"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2/1/1</w:t>
            </w:r>
          </w:p>
        </w:tc>
      </w:tr>
      <w:tr w:rsidR="0023539C" w14:paraId="7324634A" w14:textId="77777777">
        <w:trPr>
          <w:jc w:val="center"/>
        </w:trPr>
        <w:tc>
          <w:tcPr>
            <w:tcW w:w="1067" w:type="dxa"/>
            <w:tcBorders>
              <w:top w:val="single" w:sz="4" w:space="0" w:color="000000"/>
              <w:left w:val="single" w:sz="4" w:space="0" w:color="000000"/>
              <w:bottom w:val="single" w:sz="4" w:space="0" w:color="000000"/>
              <w:right w:val="single" w:sz="4" w:space="0" w:color="000000"/>
            </w:tcBorders>
          </w:tcPr>
          <w:p w14:paraId="543E0045" w14:textId="77777777" w:rsidR="0023539C" w:rsidRPr="00253E6E" w:rsidRDefault="0023539C" w:rsidP="00253E6E">
            <w:pPr>
              <w:ind w:firstLine="0"/>
              <w:rPr>
                <w:rFonts w:ascii="Times New Roman" w:hAnsi="Times New Roman" w:cs="Times New Roman"/>
                <w:sz w:val="20"/>
                <w:szCs w:val="20"/>
              </w:rPr>
            </w:pPr>
            <w:r>
              <w:rPr>
                <w:rFonts w:ascii="Times New Roman" w:hAnsi="Times New Roman" w:cs="Times New Roman"/>
                <w:sz w:val="20"/>
                <w:szCs w:val="20"/>
              </w:rPr>
              <w:t>Old Kingdom c. 2650</w:t>
            </w:r>
          </w:p>
        </w:tc>
        <w:tc>
          <w:tcPr>
            <w:tcW w:w="1403" w:type="dxa"/>
            <w:tcBorders>
              <w:top w:val="single" w:sz="4" w:space="0" w:color="000000"/>
              <w:left w:val="single" w:sz="4" w:space="0" w:color="000000"/>
              <w:bottom w:val="single" w:sz="4" w:space="0" w:color="000000"/>
              <w:right w:val="single" w:sz="4" w:space="0" w:color="000000"/>
            </w:tcBorders>
          </w:tcPr>
          <w:p w14:paraId="699D3ACB"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4FE574E2"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30C1D499"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2" w:type="dxa"/>
            <w:tcBorders>
              <w:top w:val="single" w:sz="4" w:space="0" w:color="000000"/>
              <w:left w:val="single" w:sz="4" w:space="0" w:color="000000"/>
              <w:bottom w:val="single" w:sz="4" w:space="0" w:color="000000"/>
              <w:right w:val="single" w:sz="4" w:space="0" w:color="000000"/>
            </w:tcBorders>
          </w:tcPr>
          <w:p w14:paraId="1705CAE6"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401" w:type="dxa"/>
            <w:tcBorders>
              <w:top w:val="single" w:sz="4" w:space="0" w:color="000000"/>
              <w:left w:val="single" w:sz="4" w:space="0" w:color="000000"/>
              <w:bottom w:val="single" w:sz="4" w:space="0" w:color="000000"/>
              <w:right w:val="single" w:sz="4" w:space="0" w:color="000000"/>
            </w:tcBorders>
          </w:tcPr>
          <w:p w14:paraId="5445A0D0"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c>
          <w:tcPr>
            <w:tcW w:w="1122" w:type="dxa"/>
            <w:tcBorders>
              <w:top w:val="single" w:sz="4" w:space="0" w:color="000000"/>
              <w:left w:val="single" w:sz="4" w:space="0" w:color="000000"/>
              <w:bottom w:val="single" w:sz="4" w:space="0" w:color="000000"/>
              <w:right w:val="single" w:sz="4" w:space="0" w:color="000000"/>
            </w:tcBorders>
          </w:tcPr>
          <w:p w14:paraId="0E371B70" w14:textId="77777777" w:rsidR="0023539C" w:rsidRPr="00253E6E" w:rsidRDefault="0023539C" w:rsidP="00253E6E">
            <w:pPr>
              <w:ind w:firstLine="0"/>
              <w:jc w:val="center"/>
              <w:rPr>
                <w:rFonts w:ascii="Times New Roman" w:hAnsi="Times New Roman" w:cs="Times New Roman"/>
                <w:sz w:val="20"/>
                <w:szCs w:val="20"/>
              </w:rPr>
            </w:pPr>
            <w:r>
              <w:rPr>
                <w:rFonts w:ascii="Times New Roman" w:hAnsi="Times New Roman" w:cs="Times New Roman"/>
                <w:sz w:val="20"/>
                <w:szCs w:val="20"/>
              </w:rPr>
              <w:t>2/2/2</w:t>
            </w:r>
          </w:p>
        </w:tc>
      </w:tr>
    </w:tbl>
    <w:p w14:paraId="5601F249" w14:textId="77777777" w:rsidR="0023539C" w:rsidRDefault="0023539C" w:rsidP="008A2B4C">
      <w:pPr>
        <w:rPr>
          <w:rFonts w:ascii="Times New Roman" w:hAnsi="Times New Roman" w:cs="Times New Roman"/>
          <w:i/>
          <w:iCs/>
          <w:sz w:val="24"/>
          <w:szCs w:val="24"/>
        </w:rPr>
      </w:pPr>
    </w:p>
    <w:p w14:paraId="23B8C3A5" w14:textId="77777777" w:rsidR="0023539C" w:rsidRPr="00674EAE" w:rsidRDefault="0023539C" w:rsidP="008A2B4C">
      <w:pPr>
        <w:rPr>
          <w:rFonts w:ascii="Times New Roman" w:hAnsi="Times New Roman" w:cs="Times New Roman"/>
          <w:sz w:val="24"/>
          <w:szCs w:val="24"/>
        </w:rPr>
      </w:pPr>
      <w:r>
        <w:rPr>
          <w:rFonts w:ascii="Times New Roman" w:hAnsi="Times New Roman" w:cs="Times New Roman"/>
          <w:sz w:val="24"/>
          <w:szCs w:val="24"/>
        </w:rPr>
        <w:t>Note: Each cell shows E/S/min(E,S). Observable abbreviations: Mnemonic Arch. = Mnemonic Architectures; Symbolic Stab. = Symbolic Stabilization; Extern. Cognition = Externalized Cognition; Symbolic Reg. = Symbolic Regulation; Distrib. Auth. = Distributed Symbolic Authority; Port. Anchors = Portable Symbolic Anchors. Score 0 = absent/undetectable; 1 = partial; 2 = full (per FCP criteria in Table 2). Badarian Externalized Cognition S=0 reflects absence of standardized inscription traditions; Portable Anchors S=0 at Badarian reflects that extant portable objects do not demonstrate inter-community autonomous symbolic carrier function. Naqada III Portable Anchors E=2/S=0/min=0 corrected to E=2/S=2/min=2 from Early Dynastic onward when cylinder seal networks confirm autonomous symbolic carrier function. All scores are preliminary estimates requiring full systematic morphometric re-analysis (Section 7.3).</w:t>
      </w:r>
    </w:p>
    <w:p w14:paraId="1DC46407" w14:textId="77777777" w:rsidR="00674EAE" w:rsidRDefault="00674EAE" w:rsidP="00674EAE">
      <w:pPr>
        <w:ind w:firstLine="0"/>
        <w:jc w:val="center"/>
        <w:rPr>
          <w:rFonts w:ascii="Times New Roman" w:hAnsi="Times New Roman" w:cs="Times New Roman"/>
          <w:b/>
          <w:bCs/>
          <w:sz w:val="24"/>
          <w:szCs w:val="24"/>
        </w:rPr>
      </w:pPr>
    </w:p>
    <w:p w14:paraId="023664B7" w14:textId="5F5367DD" w:rsidR="0023539C" w:rsidRDefault="0023539C" w:rsidP="00674EAE">
      <w:pPr>
        <w:ind w:firstLine="0"/>
        <w:jc w:val="center"/>
        <w:rPr>
          <w:rFonts w:ascii="Times New Roman" w:hAnsi="Times New Roman" w:cs="Times New Roman"/>
          <w:b/>
          <w:bCs/>
          <w:sz w:val="24"/>
          <w:szCs w:val="24"/>
        </w:rPr>
      </w:pPr>
      <w:r>
        <w:rPr>
          <w:rFonts w:ascii="Times New Roman" w:hAnsi="Times New Roman" w:cs="Times New Roman"/>
          <w:b/>
          <w:bCs/>
          <w:sz w:val="24"/>
          <w:szCs w:val="24"/>
        </w:rPr>
        <w:t>Table 3. Egyptian Archaeological Evidence with 2D FCP Scores (Honest Variance; max = 12)</w:t>
      </w:r>
    </w:p>
    <w:tbl>
      <w:tblPr>
        <w:tblW w:w="8503" w:type="dxa"/>
        <w:jc w:val="center"/>
        <w:tblLayout w:type="fixed"/>
        <w:tblCellMar>
          <w:top w:w="60" w:type="dxa"/>
          <w:left w:w="80" w:type="dxa"/>
          <w:bottom w:w="60" w:type="dxa"/>
          <w:right w:w="80" w:type="dxa"/>
        </w:tblCellMar>
        <w:tblLook w:val="0000" w:firstRow="0" w:lastRow="0" w:firstColumn="0" w:lastColumn="0" w:noHBand="0" w:noVBand="0"/>
      </w:tblPr>
      <w:tblGrid>
        <w:gridCol w:w="846"/>
        <w:gridCol w:w="1343"/>
        <w:gridCol w:w="2484"/>
        <w:gridCol w:w="709"/>
        <w:gridCol w:w="709"/>
        <w:gridCol w:w="815"/>
        <w:gridCol w:w="866"/>
        <w:gridCol w:w="731"/>
      </w:tblGrid>
      <w:tr w:rsidR="0023539C" w14:paraId="55577811" w14:textId="77777777" w:rsidTr="00674EAE">
        <w:trPr>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C276CD"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Period (BCE)</w:t>
            </w:r>
          </w:p>
        </w:tc>
        <w:tc>
          <w:tcPr>
            <w:tcW w:w="13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48AC3"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Key Site(s)</w:t>
            </w:r>
          </w:p>
        </w:tc>
        <w:tc>
          <w:tcPr>
            <w:tcW w:w="24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5C4803"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Primary Evidence</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36798"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Stage</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9F728"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E Score</w:t>
            </w:r>
          </w:p>
        </w:tc>
        <w:tc>
          <w:tcPr>
            <w:tcW w:w="8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B7134"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S Score</w:t>
            </w:r>
          </w:p>
        </w:tc>
        <w:tc>
          <w:tcPr>
            <w:tcW w:w="8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2B027"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Min(E,S)</w:t>
            </w:r>
          </w:p>
        </w:tc>
        <w:tc>
          <w:tcPr>
            <w:tcW w:w="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CC752" w14:textId="77777777" w:rsidR="0023539C" w:rsidRPr="00674EAE" w:rsidRDefault="0023539C" w:rsidP="00674EAE">
            <w:pPr>
              <w:ind w:firstLine="0"/>
              <w:jc w:val="center"/>
              <w:rPr>
                <w:rFonts w:ascii="Times New Roman" w:hAnsi="Times New Roman" w:cs="Times New Roman"/>
              </w:rPr>
            </w:pPr>
            <w:r>
              <w:rPr>
                <w:rFonts w:ascii="Times New Roman" w:hAnsi="Times New Roman" w:cs="Times New Roman"/>
                <w:b/>
                <w:bCs/>
              </w:rPr>
              <w:t>Total /12</w:t>
            </w:r>
          </w:p>
        </w:tc>
      </w:tr>
      <w:tr w:rsidR="0023539C" w14:paraId="1801CB32"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7A617F1"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4500–4000</w:t>
            </w:r>
          </w:p>
        </w:tc>
        <w:tc>
          <w:tcPr>
            <w:tcW w:w="1343" w:type="dxa"/>
            <w:tcBorders>
              <w:top w:val="single" w:sz="4" w:space="0" w:color="000000"/>
              <w:left w:val="single" w:sz="4" w:space="0" w:color="000000"/>
              <w:bottom w:val="single" w:sz="4" w:space="0" w:color="000000"/>
              <w:right w:val="single" w:sz="4" w:space="0" w:color="000000"/>
            </w:tcBorders>
            <w:vAlign w:val="center"/>
          </w:tcPr>
          <w:p w14:paraId="59F14461"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Mostagedda, Hammamiya (Badarian)</w:t>
            </w:r>
          </w:p>
        </w:tc>
        <w:tc>
          <w:tcPr>
            <w:tcW w:w="2484" w:type="dxa"/>
            <w:tcBorders>
              <w:top w:val="single" w:sz="4" w:space="0" w:color="000000"/>
              <w:left w:val="single" w:sz="4" w:space="0" w:color="000000"/>
              <w:bottom w:val="single" w:sz="4" w:space="0" w:color="000000"/>
              <w:right w:val="single" w:sz="4" w:space="0" w:color="000000"/>
            </w:tcBorders>
            <w:vAlign w:val="center"/>
          </w:tcPr>
          <w:p w14:paraId="17D91030"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Standardised mortuary orientation, grave good regularity; limited portable media; no monumental features. Preservation constraints limit evidence recovery.</w:t>
            </w:r>
          </w:p>
        </w:tc>
        <w:tc>
          <w:tcPr>
            <w:tcW w:w="709" w:type="dxa"/>
            <w:tcBorders>
              <w:top w:val="single" w:sz="4" w:space="0" w:color="000000"/>
              <w:left w:val="single" w:sz="4" w:space="0" w:color="000000"/>
              <w:bottom w:val="single" w:sz="4" w:space="0" w:color="000000"/>
              <w:right w:val="single" w:sz="4" w:space="0" w:color="000000"/>
            </w:tcBorders>
            <w:vAlign w:val="center"/>
          </w:tcPr>
          <w:p w14:paraId="7D4EB7D5"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1</w:t>
            </w:r>
          </w:p>
        </w:tc>
        <w:tc>
          <w:tcPr>
            <w:tcW w:w="709" w:type="dxa"/>
            <w:tcBorders>
              <w:top w:val="single" w:sz="4" w:space="0" w:color="000000"/>
              <w:left w:val="single" w:sz="4" w:space="0" w:color="000000"/>
              <w:bottom w:val="single" w:sz="4" w:space="0" w:color="000000"/>
              <w:right w:val="single" w:sz="4" w:space="0" w:color="000000"/>
            </w:tcBorders>
            <w:vAlign w:val="center"/>
          </w:tcPr>
          <w:p w14:paraId="4FEF61A3"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1.3</w:t>
            </w:r>
          </w:p>
        </w:tc>
        <w:tc>
          <w:tcPr>
            <w:tcW w:w="815" w:type="dxa"/>
            <w:tcBorders>
              <w:top w:val="single" w:sz="4" w:space="0" w:color="000000"/>
              <w:left w:val="single" w:sz="4" w:space="0" w:color="000000"/>
              <w:bottom w:val="single" w:sz="4" w:space="0" w:color="000000"/>
              <w:right w:val="single" w:sz="4" w:space="0" w:color="000000"/>
            </w:tcBorders>
            <w:vAlign w:val="center"/>
          </w:tcPr>
          <w:p w14:paraId="2D817C6A"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0.9</w:t>
            </w:r>
          </w:p>
        </w:tc>
        <w:tc>
          <w:tcPr>
            <w:tcW w:w="866" w:type="dxa"/>
            <w:tcBorders>
              <w:top w:val="single" w:sz="4" w:space="0" w:color="000000"/>
              <w:left w:val="single" w:sz="4" w:space="0" w:color="000000"/>
              <w:bottom w:val="single" w:sz="4" w:space="0" w:color="000000"/>
              <w:right w:val="single" w:sz="4" w:space="0" w:color="000000"/>
            </w:tcBorders>
            <w:vAlign w:val="center"/>
          </w:tcPr>
          <w:p w14:paraId="5B8EABF3"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1.1</w:t>
            </w:r>
          </w:p>
        </w:tc>
        <w:tc>
          <w:tcPr>
            <w:tcW w:w="731" w:type="dxa"/>
            <w:tcBorders>
              <w:top w:val="single" w:sz="4" w:space="0" w:color="000000"/>
              <w:left w:val="single" w:sz="4" w:space="0" w:color="000000"/>
              <w:bottom w:val="single" w:sz="4" w:space="0" w:color="000000"/>
              <w:right w:val="single" w:sz="4" w:space="0" w:color="000000"/>
            </w:tcBorders>
            <w:vAlign w:val="center"/>
          </w:tcPr>
          <w:p w14:paraId="0B676106"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~4.5/12</w:t>
            </w:r>
          </w:p>
        </w:tc>
      </w:tr>
      <w:tr w:rsidR="0023539C" w14:paraId="2F52AFF8"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7DCF07E"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4000–3500</w:t>
            </w:r>
          </w:p>
        </w:tc>
        <w:tc>
          <w:tcPr>
            <w:tcW w:w="1343" w:type="dxa"/>
            <w:tcBorders>
              <w:top w:val="single" w:sz="4" w:space="0" w:color="000000"/>
              <w:left w:val="single" w:sz="4" w:space="0" w:color="000000"/>
              <w:bottom w:val="single" w:sz="4" w:space="0" w:color="000000"/>
              <w:right w:val="single" w:sz="4" w:space="0" w:color="000000"/>
            </w:tcBorders>
            <w:vAlign w:val="center"/>
          </w:tcPr>
          <w:p w14:paraId="1202D583" w14:textId="77777777" w:rsidR="0023539C" w:rsidRDefault="0023539C" w:rsidP="00674EAE">
            <w:pPr>
              <w:ind w:firstLine="0"/>
              <w:jc w:val="center"/>
              <w:rPr>
                <w:rFonts w:ascii="Times New Roman" w:hAnsi="Times New Roman" w:cs="Times New Roman"/>
                <w:sz w:val="20"/>
                <w:szCs w:val="20"/>
                <w:lang w:val="it-IT"/>
              </w:rPr>
            </w:pPr>
            <w:r>
              <w:rPr>
                <w:rFonts w:ascii="Times New Roman" w:hAnsi="Times New Roman" w:cs="Times New Roman"/>
                <w:sz w:val="20"/>
                <w:szCs w:val="20"/>
                <w:lang w:val="it-IT"/>
              </w:rPr>
              <w:t>Naqada, el-Amra (Naqada I)</w:t>
            </w:r>
          </w:p>
        </w:tc>
        <w:tc>
          <w:tcPr>
            <w:tcW w:w="2484" w:type="dxa"/>
            <w:tcBorders>
              <w:top w:val="single" w:sz="4" w:space="0" w:color="000000"/>
              <w:left w:val="single" w:sz="4" w:space="0" w:color="000000"/>
              <w:bottom w:val="single" w:sz="4" w:space="0" w:color="000000"/>
              <w:right w:val="single" w:sz="4" w:space="0" w:color="000000"/>
            </w:tcBorders>
            <w:vAlign w:val="center"/>
          </w:tcPr>
          <w:p w14:paraId="11C5BDDC"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Black-topped Red Ware standardisation; painted vessels; regional exchange; portable palettes; declining CV (est. 0.38→0.31). Symbolic specificity improving.</w:t>
            </w:r>
          </w:p>
        </w:tc>
        <w:tc>
          <w:tcPr>
            <w:tcW w:w="709" w:type="dxa"/>
            <w:tcBorders>
              <w:top w:val="single" w:sz="4" w:space="0" w:color="000000"/>
              <w:left w:val="single" w:sz="4" w:space="0" w:color="000000"/>
              <w:bottom w:val="single" w:sz="4" w:space="0" w:color="000000"/>
              <w:right w:val="single" w:sz="4" w:space="0" w:color="000000"/>
            </w:tcBorders>
            <w:vAlign w:val="center"/>
          </w:tcPr>
          <w:p w14:paraId="6A116E65"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1→2</w:t>
            </w:r>
          </w:p>
        </w:tc>
        <w:tc>
          <w:tcPr>
            <w:tcW w:w="709" w:type="dxa"/>
            <w:tcBorders>
              <w:top w:val="single" w:sz="4" w:space="0" w:color="000000"/>
              <w:left w:val="single" w:sz="4" w:space="0" w:color="000000"/>
              <w:bottom w:val="single" w:sz="4" w:space="0" w:color="000000"/>
              <w:right w:val="single" w:sz="4" w:space="0" w:color="000000"/>
            </w:tcBorders>
            <w:vAlign w:val="center"/>
          </w:tcPr>
          <w:p w14:paraId="39C511DA"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1.7</w:t>
            </w:r>
          </w:p>
        </w:tc>
        <w:tc>
          <w:tcPr>
            <w:tcW w:w="815" w:type="dxa"/>
            <w:tcBorders>
              <w:top w:val="single" w:sz="4" w:space="0" w:color="000000"/>
              <w:left w:val="single" w:sz="4" w:space="0" w:color="000000"/>
              <w:bottom w:val="single" w:sz="4" w:space="0" w:color="000000"/>
              <w:right w:val="single" w:sz="4" w:space="0" w:color="000000"/>
            </w:tcBorders>
            <w:vAlign w:val="center"/>
          </w:tcPr>
          <w:p w14:paraId="584AA705"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1.5</w:t>
            </w:r>
          </w:p>
        </w:tc>
        <w:tc>
          <w:tcPr>
            <w:tcW w:w="866" w:type="dxa"/>
            <w:tcBorders>
              <w:top w:val="single" w:sz="4" w:space="0" w:color="000000"/>
              <w:left w:val="single" w:sz="4" w:space="0" w:color="000000"/>
              <w:bottom w:val="single" w:sz="4" w:space="0" w:color="000000"/>
              <w:right w:val="single" w:sz="4" w:space="0" w:color="000000"/>
            </w:tcBorders>
            <w:vAlign w:val="center"/>
          </w:tcPr>
          <w:p w14:paraId="42F647F4"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1.5</w:t>
            </w:r>
          </w:p>
        </w:tc>
        <w:tc>
          <w:tcPr>
            <w:tcW w:w="731" w:type="dxa"/>
            <w:tcBorders>
              <w:top w:val="single" w:sz="4" w:space="0" w:color="000000"/>
              <w:left w:val="single" w:sz="4" w:space="0" w:color="000000"/>
              <w:bottom w:val="single" w:sz="4" w:space="0" w:color="000000"/>
              <w:right w:val="single" w:sz="4" w:space="0" w:color="000000"/>
            </w:tcBorders>
            <w:vAlign w:val="center"/>
          </w:tcPr>
          <w:p w14:paraId="7D332D02"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~6.5/12</w:t>
            </w:r>
          </w:p>
        </w:tc>
      </w:tr>
      <w:tr w:rsidR="0023539C" w14:paraId="4CDBD38A"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2359BE2"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3500–3200</w:t>
            </w:r>
          </w:p>
        </w:tc>
        <w:tc>
          <w:tcPr>
            <w:tcW w:w="1343" w:type="dxa"/>
            <w:tcBorders>
              <w:top w:val="single" w:sz="4" w:space="0" w:color="000000"/>
              <w:left w:val="single" w:sz="4" w:space="0" w:color="000000"/>
              <w:bottom w:val="single" w:sz="4" w:space="0" w:color="000000"/>
              <w:right w:val="single" w:sz="4" w:space="0" w:color="000000"/>
            </w:tcBorders>
            <w:vAlign w:val="center"/>
          </w:tcPr>
          <w:p w14:paraId="2DA9D7F6"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Hierakonpolis HK29A, HK6 (Naqada II)</w:t>
            </w:r>
          </w:p>
        </w:tc>
        <w:tc>
          <w:tcPr>
            <w:tcW w:w="2484" w:type="dxa"/>
            <w:tcBorders>
              <w:top w:val="single" w:sz="4" w:space="0" w:color="000000"/>
              <w:left w:val="single" w:sz="4" w:space="0" w:color="000000"/>
              <w:bottom w:val="single" w:sz="4" w:space="0" w:color="000000"/>
              <w:right w:val="single" w:sz="4" w:space="0" w:color="000000"/>
            </w:tcBorders>
            <w:vAlign w:val="center"/>
          </w:tcPr>
          <w:p w14:paraId="67CECE4F"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Large brewery installations, stratified ritual pits, Tomb 100 iconography, ceremonial enclosures. Seasonal ritual cycles. CV est. 0.24. Clear symbolic regulation.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3CD93A8"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2</w:t>
            </w:r>
          </w:p>
        </w:tc>
        <w:tc>
          <w:tcPr>
            <w:tcW w:w="709" w:type="dxa"/>
            <w:tcBorders>
              <w:top w:val="single" w:sz="4" w:space="0" w:color="000000"/>
              <w:left w:val="single" w:sz="4" w:space="0" w:color="000000"/>
              <w:bottom w:val="single" w:sz="4" w:space="0" w:color="000000"/>
              <w:right w:val="single" w:sz="4" w:space="0" w:color="000000"/>
            </w:tcBorders>
            <w:vAlign w:val="center"/>
          </w:tcPr>
          <w:p w14:paraId="00A6372D"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1.9</w:t>
            </w:r>
          </w:p>
        </w:tc>
        <w:tc>
          <w:tcPr>
            <w:tcW w:w="815" w:type="dxa"/>
            <w:tcBorders>
              <w:top w:val="single" w:sz="4" w:space="0" w:color="000000"/>
              <w:left w:val="single" w:sz="4" w:space="0" w:color="000000"/>
              <w:bottom w:val="single" w:sz="4" w:space="0" w:color="000000"/>
              <w:right w:val="single" w:sz="4" w:space="0" w:color="000000"/>
            </w:tcBorders>
            <w:vAlign w:val="center"/>
          </w:tcPr>
          <w:p w14:paraId="039F7418"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1.9</w:t>
            </w:r>
          </w:p>
        </w:tc>
        <w:tc>
          <w:tcPr>
            <w:tcW w:w="866" w:type="dxa"/>
            <w:tcBorders>
              <w:top w:val="single" w:sz="4" w:space="0" w:color="000000"/>
              <w:left w:val="single" w:sz="4" w:space="0" w:color="000000"/>
              <w:bottom w:val="single" w:sz="4" w:space="0" w:color="000000"/>
              <w:right w:val="single" w:sz="4" w:space="0" w:color="000000"/>
            </w:tcBorders>
            <w:vAlign w:val="center"/>
          </w:tcPr>
          <w:p w14:paraId="17357FC9"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1.9</w:t>
            </w:r>
          </w:p>
        </w:tc>
        <w:tc>
          <w:tcPr>
            <w:tcW w:w="731" w:type="dxa"/>
            <w:tcBorders>
              <w:top w:val="single" w:sz="4" w:space="0" w:color="000000"/>
              <w:left w:val="single" w:sz="4" w:space="0" w:color="000000"/>
              <w:bottom w:val="single" w:sz="4" w:space="0" w:color="000000"/>
              <w:right w:val="single" w:sz="4" w:space="0" w:color="000000"/>
            </w:tcBorders>
            <w:vAlign w:val="center"/>
          </w:tcPr>
          <w:p w14:paraId="7A73F06F"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~8.5/12</w:t>
            </w:r>
          </w:p>
        </w:tc>
      </w:tr>
      <w:tr w:rsidR="0023539C" w14:paraId="1AD06106"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84F24EF"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3200–3100</w:t>
            </w:r>
          </w:p>
        </w:tc>
        <w:tc>
          <w:tcPr>
            <w:tcW w:w="1343" w:type="dxa"/>
            <w:tcBorders>
              <w:top w:val="single" w:sz="4" w:space="0" w:color="000000"/>
              <w:left w:val="single" w:sz="4" w:space="0" w:color="000000"/>
              <w:bottom w:val="single" w:sz="4" w:space="0" w:color="000000"/>
              <w:right w:val="single" w:sz="4" w:space="0" w:color="000000"/>
            </w:tcBorders>
            <w:vAlign w:val="center"/>
          </w:tcPr>
          <w:p w14:paraId="7F48A974"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Abydos U-j, Narmer Palette (Naqada III)</w:t>
            </w:r>
          </w:p>
        </w:tc>
        <w:tc>
          <w:tcPr>
            <w:tcW w:w="2484" w:type="dxa"/>
            <w:tcBorders>
              <w:top w:val="single" w:sz="4" w:space="0" w:color="000000"/>
              <w:left w:val="single" w:sz="4" w:space="0" w:color="000000"/>
              <w:bottom w:val="single" w:sz="4" w:space="0" w:color="000000"/>
              <w:right w:val="single" w:sz="4" w:space="0" w:color="000000"/>
            </w:tcBorders>
            <w:vAlign w:val="center"/>
          </w:tcPr>
          <w:p w14:paraId="2199D608"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Administrative labels (early hieroglyphics); Narmer Palette; royal iconographic program; cylinder seals. CV est. 0.17. 68% of graphemes traceable to prior material culture.</w:t>
            </w:r>
          </w:p>
        </w:tc>
        <w:tc>
          <w:tcPr>
            <w:tcW w:w="709" w:type="dxa"/>
            <w:tcBorders>
              <w:top w:val="single" w:sz="4" w:space="0" w:color="000000"/>
              <w:left w:val="single" w:sz="4" w:space="0" w:color="000000"/>
              <w:bottom w:val="single" w:sz="4" w:space="0" w:color="000000"/>
              <w:right w:val="single" w:sz="4" w:space="0" w:color="000000"/>
            </w:tcBorders>
            <w:vAlign w:val="center"/>
          </w:tcPr>
          <w:p w14:paraId="25B4B35F"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3</w:t>
            </w:r>
          </w:p>
        </w:tc>
        <w:tc>
          <w:tcPr>
            <w:tcW w:w="709" w:type="dxa"/>
            <w:tcBorders>
              <w:top w:val="single" w:sz="4" w:space="0" w:color="000000"/>
              <w:left w:val="single" w:sz="4" w:space="0" w:color="000000"/>
              <w:bottom w:val="single" w:sz="4" w:space="0" w:color="000000"/>
              <w:right w:val="single" w:sz="4" w:space="0" w:color="000000"/>
            </w:tcBorders>
            <w:vAlign w:val="center"/>
          </w:tcPr>
          <w:p w14:paraId="2051FB69"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815" w:type="dxa"/>
            <w:tcBorders>
              <w:top w:val="single" w:sz="4" w:space="0" w:color="000000"/>
              <w:left w:val="single" w:sz="4" w:space="0" w:color="000000"/>
              <w:bottom w:val="single" w:sz="4" w:space="0" w:color="000000"/>
              <w:right w:val="single" w:sz="4" w:space="0" w:color="000000"/>
            </w:tcBorders>
            <w:vAlign w:val="center"/>
          </w:tcPr>
          <w:p w14:paraId="0426B1F5"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866" w:type="dxa"/>
            <w:tcBorders>
              <w:top w:val="single" w:sz="4" w:space="0" w:color="000000"/>
              <w:left w:val="single" w:sz="4" w:space="0" w:color="000000"/>
              <w:bottom w:val="single" w:sz="4" w:space="0" w:color="000000"/>
              <w:right w:val="single" w:sz="4" w:space="0" w:color="000000"/>
            </w:tcBorders>
            <w:vAlign w:val="center"/>
          </w:tcPr>
          <w:p w14:paraId="5B85AA11"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731" w:type="dxa"/>
            <w:tcBorders>
              <w:top w:val="single" w:sz="4" w:space="0" w:color="000000"/>
              <w:left w:val="single" w:sz="4" w:space="0" w:color="000000"/>
              <w:bottom w:val="single" w:sz="4" w:space="0" w:color="000000"/>
              <w:right w:val="single" w:sz="4" w:space="0" w:color="000000"/>
            </w:tcBorders>
            <w:vAlign w:val="center"/>
          </w:tcPr>
          <w:p w14:paraId="31DA3282"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~10/12</w:t>
            </w:r>
          </w:p>
        </w:tc>
      </w:tr>
      <w:tr w:rsidR="0023539C" w14:paraId="71910D34"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726D4B5"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3100–2650</w:t>
            </w:r>
          </w:p>
        </w:tc>
        <w:tc>
          <w:tcPr>
            <w:tcW w:w="1343" w:type="dxa"/>
            <w:tcBorders>
              <w:top w:val="single" w:sz="4" w:space="0" w:color="000000"/>
              <w:left w:val="single" w:sz="4" w:space="0" w:color="000000"/>
              <w:bottom w:val="single" w:sz="4" w:space="0" w:color="000000"/>
              <w:right w:val="single" w:sz="4" w:space="0" w:color="000000"/>
            </w:tcBorders>
            <w:vAlign w:val="center"/>
          </w:tcPr>
          <w:p w14:paraId="37BB0011"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E. Dynastic Abydos, Saqqara</w:t>
            </w:r>
          </w:p>
        </w:tc>
        <w:tc>
          <w:tcPr>
            <w:tcW w:w="2484" w:type="dxa"/>
            <w:tcBorders>
              <w:top w:val="single" w:sz="4" w:space="0" w:color="000000"/>
              <w:left w:val="single" w:sz="4" w:space="0" w:color="000000"/>
              <w:bottom w:val="single" w:sz="4" w:space="0" w:color="000000"/>
              <w:right w:val="single" w:sz="4" w:space="0" w:color="000000"/>
            </w:tcBorders>
            <w:vAlign w:val="center"/>
          </w:tcPr>
          <w:p w14:paraId="1BFE5DA0"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Mastaba architecture; administrative papyri; royal cemetery programs; distributed cylinder seal networks. CV &lt; 0.12. Full institutional offloading underway.</w:t>
            </w:r>
          </w:p>
        </w:tc>
        <w:tc>
          <w:tcPr>
            <w:tcW w:w="709" w:type="dxa"/>
            <w:tcBorders>
              <w:top w:val="single" w:sz="4" w:space="0" w:color="000000"/>
              <w:left w:val="single" w:sz="4" w:space="0" w:color="000000"/>
              <w:bottom w:val="single" w:sz="4" w:space="0" w:color="000000"/>
              <w:right w:val="single" w:sz="4" w:space="0" w:color="000000"/>
            </w:tcBorders>
            <w:vAlign w:val="center"/>
          </w:tcPr>
          <w:p w14:paraId="085A879D"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4</w:t>
            </w:r>
          </w:p>
        </w:tc>
        <w:tc>
          <w:tcPr>
            <w:tcW w:w="709" w:type="dxa"/>
            <w:tcBorders>
              <w:top w:val="single" w:sz="4" w:space="0" w:color="000000"/>
              <w:left w:val="single" w:sz="4" w:space="0" w:color="000000"/>
              <w:bottom w:val="single" w:sz="4" w:space="0" w:color="000000"/>
              <w:right w:val="single" w:sz="4" w:space="0" w:color="000000"/>
            </w:tcBorders>
            <w:vAlign w:val="center"/>
          </w:tcPr>
          <w:p w14:paraId="14114643"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815" w:type="dxa"/>
            <w:tcBorders>
              <w:top w:val="single" w:sz="4" w:space="0" w:color="000000"/>
              <w:left w:val="single" w:sz="4" w:space="0" w:color="000000"/>
              <w:bottom w:val="single" w:sz="4" w:space="0" w:color="000000"/>
              <w:right w:val="single" w:sz="4" w:space="0" w:color="000000"/>
            </w:tcBorders>
            <w:vAlign w:val="center"/>
          </w:tcPr>
          <w:p w14:paraId="75C142F7"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866" w:type="dxa"/>
            <w:tcBorders>
              <w:top w:val="single" w:sz="4" w:space="0" w:color="000000"/>
              <w:left w:val="single" w:sz="4" w:space="0" w:color="000000"/>
              <w:bottom w:val="single" w:sz="4" w:space="0" w:color="000000"/>
              <w:right w:val="single" w:sz="4" w:space="0" w:color="000000"/>
            </w:tcBorders>
            <w:vAlign w:val="center"/>
          </w:tcPr>
          <w:p w14:paraId="1232FAA4"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avg 2.0</w:t>
            </w:r>
          </w:p>
        </w:tc>
        <w:tc>
          <w:tcPr>
            <w:tcW w:w="731" w:type="dxa"/>
            <w:tcBorders>
              <w:top w:val="single" w:sz="4" w:space="0" w:color="000000"/>
              <w:left w:val="single" w:sz="4" w:space="0" w:color="000000"/>
              <w:bottom w:val="single" w:sz="4" w:space="0" w:color="000000"/>
              <w:right w:val="single" w:sz="4" w:space="0" w:color="000000"/>
            </w:tcBorders>
            <w:vAlign w:val="center"/>
          </w:tcPr>
          <w:p w14:paraId="48C61143"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~11/12</w:t>
            </w:r>
          </w:p>
        </w:tc>
      </w:tr>
      <w:tr w:rsidR="0023539C" w14:paraId="002F5FDE" w14:textId="77777777" w:rsidTr="00674EAE">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4B48A3C"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c. 2650</w:t>
            </w:r>
          </w:p>
        </w:tc>
        <w:tc>
          <w:tcPr>
            <w:tcW w:w="1343" w:type="dxa"/>
            <w:tcBorders>
              <w:top w:val="single" w:sz="4" w:space="0" w:color="000000"/>
              <w:left w:val="single" w:sz="4" w:space="0" w:color="000000"/>
              <w:bottom w:val="single" w:sz="4" w:space="0" w:color="000000"/>
              <w:right w:val="single" w:sz="4" w:space="0" w:color="000000"/>
            </w:tcBorders>
            <w:vAlign w:val="center"/>
          </w:tcPr>
          <w:p w14:paraId="7D2813DB"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Djoser Step Pyramid, Saqqara</w:t>
            </w:r>
          </w:p>
        </w:tc>
        <w:tc>
          <w:tcPr>
            <w:tcW w:w="2484" w:type="dxa"/>
            <w:tcBorders>
              <w:top w:val="single" w:sz="4" w:space="0" w:color="000000"/>
              <w:left w:val="single" w:sz="4" w:space="0" w:color="000000"/>
              <w:bottom w:val="single" w:sz="4" w:space="0" w:color="000000"/>
              <w:right w:val="single" w:sz="4" w:space="0" w:color="000000"/>
            </w:tcBorders>
            <w:vAlign w:val="center"/>
          </w:tcPr>
          <w:p w14:paraId="058EC6A0"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Integrated mortuary complex; full administrative apparatus; worker settlement archaeology; cosmological, political and ritual symbolism at monumental scale.</w:t>
            </w:r>
          </w:p>
        </w:tc>
        <w:tc>
          <w:tcPr>
            <w:tcW w:w="709" w:type="dxa"/>
            <w:tcBorders>
              <w:top w:val="single" w:sz="4" w:space="0" w:color="000000"/>
              <w:left w:val="single" w:sz="4" w:space="0" w:color="000000"/>
              <w:bottom w:val="single" w:sz="4" w:space="0" w:color="000000"/>
              <w:right w:val="single" w:sz="4" w:space="0" w:color="000000"/>
            </w:tcBorders>
            <w:vAlign w:val="center"/>
          </w:tcPr>
          <w:p w14:paraId="5166AA96"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Stage 4 peak</w:t>
            </w:r>
          </w:p>
        </w:tc>
        <w:tc>
          <w:tcPr>
            <w:tcW w:w="709" w:type="dxa"/>
            <w:tcBorders>
              <w:top w:val="single" w:sz="4" w:space="0" w:color="000000"/>
              <w:left w:val="single" w:sz="4" w:space="0" w:color="000000"/>
              <w:bottom w:val="single" w:sz="4" w:space="0" w:color="000000"/>
              <w:right w:val="single" w:sz="4" w:space="0" w:color="000000"/>
            </w:tcBorders>
            <w:vAlign w:val="center"/>
          </w:tcPr>
          <w:p w14:paraId="6AAB1AC0"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15" w:type="dxa"/>
            <w:tcBorders>
              <w:top w:val="single" w:sz="4" w:space="0" w:color="000000"/>
              <w:left w:val="single" w:sz="4" w:space="0" w:color="000000"/>
              <w:bottom w:val="single" w:sz="4" w:space="0" w:color="000000"/>
              <w:right w:val="single" w:sz="4" w:space="0" w:color="000000"/>
            </w:tcBorders>
            <w:vAlign w:val="center"/>
          </w:tcPr>
          <w:p w14:paraId="412E24EC"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66" w:type="dxa"/>
            <w:tcBorders>
              <w:top w:val="single" w:sz="4" w:space="0" w:color="000000"/>
              <w:left w:val="single" w:sz="4" w:space="0" w:color="000000"/>
              <w:bottom w:val="single" w:sz="4" w:space="0" w:color="000000"/>
              <w:right w:val="single" w:sz="4" w:space="0" w:color="000000"/>
            </w:tcBorders>
            <w:vAlign w:val="center"/>
          </w:tcPr>
          <w:p w14:paraId="224B3E2A"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731" w:type="dxa"/>
            <w:tcBorders>
              <w:top w:val="single" w:sz="4" w:space="0" w:color="000000"/>
              <w:left w:val="single" w:sz="4" w:space="0" w:color="000000"/>
              <w:bottom w:val="single" w:sz="4" w:space="0" w:color="000000"/>
              <w:right w:val="single" w:sz="4" w:space="0" w:color="000000"/>
            </w:tcBorders>
            <w:vAlign w:val="center"/>
          </w:tcPr>
          <w:p w14:paraId="3B9C8F39" w14:textId="77777777" w:rsidR="0023539C" w:rsidRDefault="0023539C" w:rsidP="00674EAE">
            <w:pPr>
              <w:ind w:firstLine="0"/>
              <w:jc w:val="center"/>
              <w:rPr>
                <w:rFonts w:ascii="Times New Roman" w:hAnsi="Times New Roman" w:cs="Times New Roman"/>
                <w:sz w:val="20"/>
                <w:szCs w:val="20"/>
              </w:rPr>
            </w:pPr>
            <w:r>
              <w:rPr>
                <w:rFonts w:ascii="Times New Roman" w:hAnsi="Times New Roman" w:cs="Times New Roman"/>
                <w:sz w:val="20"/>
                <w:szCs w:val="20"/>
              </w:rPr>
              <w:t>12/12</w:t>
            </w:r>
          </w:p>
        </w:tc>
      </w:tr>
    </w:tbl>
    <w:p w14:paraId="347D792D" w14:textId="77777777" w:rsidR="0023539C" w:rsidRPr="0029278E" w:rsidRDefault="0023539C" w:rsidP="0029278E">
      <w:pPr>
        <w:ind w:firstLine="0"/>
        <w:rPr>
          <w:rFonts w:ascii="Times New Roman" w:hAnsi="Times New Roman" w:cs="Times New Roman"/>
          <w:sz w:val="24"/>
          <w:szCs w:val="24"/>
        </w:rPr>
      </w:pPr>
      <w:r>
        <w:rPr>
          <w:rFonts w:ascii="Times New Roman" w:hAnsi="Times New Roman" w:cs="Times New Roman"/>
          <w:sz w:val="24"/>
          <w:szCs w:val="24"/>
        </w:rPr>
        <w:t>Note: E = Evidence Strength (0–2); S = Symbolic Specificity (0–2); Min(E,S) = final score per observable. Total = sum of min(E,S) across all six observables, maximum 12. Score depression at Badarian reflects preservation constraints and genuine interpretive uncertainty on the S axis, not absence of symbolic practice.</w:t>
      </w:r>
    </w:p>
    <w:p w14:paraId="5039E81A" w14:textId="77777777" w:rsidR="0029278E" w:rsidRDefault="0029278E" w:rsidP="0029278E">
      <w:pPr>
        <w:keepNext/>
        <w:ind w:firstLine="0"/>
        <w:rPr>
          <w:rFonts w:ascii="Times New Roman" w:hAnsi="Times New Roman" w:cs="Times New Roman"/>
          <w:b/>
          <w:bCs/>
          <w:sz w:val="26"/>
          <w:szCs w:val="26"/>
        </w:rPr>
      </w:pPr>
    </w:p>
    <w:p w14:paraId="4C9E8FA9" w14:textId="2F790176" w:rsidR="0023539C" w:rsidRDefault="0023539C" w:rsidP="0029278E">
      <w:pPr>
        <w:keepNext/>
        <w:ind w:firstLine="0"/>
        <w:rPr>
          <w:rFonts w:ascii="Times New Roman" w:hAnsi="Times New Roman" w:cs="Times New Roman"/>
          <w:b/>
          <w:bCs/>
          <w:sz w:val="26"/>
          <w:szCs w:val="26"/>
        </w:rPr>
      </w:pPr>
      <w:r>
        <w:rPr>
          <w:rFonts w:ascii="Times New Roman" w:hAnsi="Times New Roman" w:cs="Times New Roman"/>
          <w:b/>
          <w:bCs/>
          <w:sz w:val="26"/>
          <w:szCs w:val="26"/>
        </w:rPr>
        <w:t>4.2 Pre-Badarian Symbolic Foundation: The Upper Paleolithic Anchor Sequence</w:t>
      </w:r>
    </w:p>
    <w:p w14:paraId="79FA2639"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Badarian's FCP score of 4.5/12 requires proper framing: it is not a starting point but a snapshot of a process already 40,000 years old. Egypt's symbolic trajectory begins not with Predynastic cemeteries but with the Upper Paleolithic rock art of the Nile corridor. The Qurta petroglyphs (c. 19,000–15,000 BCE), the engraved panels at el-Hosh and Wadi Abu Subeira, and the Lower Nubian cliff zones document repeated, structured symbolic investment in river-adjacent rock faces across at least fifteen millennia before the Badarian period</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From a DSSM perspective, their significance lies not in representational detail but in structural patterning: motifs recur across sites; placement consistently favors cliffs overlooking river corridors; scale and positioning maximize long-term visibility. These are not decorative acts but deliberate, labor-intensive, ecologically anchored mnemonic anchors — the first detectable evidence of Stage 1 Embodied Symbolic Familiarity operating at landscape scale</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w:t>
      </w:r>
    </w:p>
    <w:p w14:paraId="0C99652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A second parallel medium emerges in the ochre record. Pigment processing and transport from Epipaleolithic contexts indicate intentional mobile color symbolism capable of moving between aggregation zones. Within DSSM, this creates the cross-media redundancy that substantially increases symbolic stability: meaning is no longer confined to fixed landscape anchors but is continuously reactivated through bodily practice and re-synchronized at aggregation events. The Epipaleolithic aggregation sites at Wadi Kubbaniya</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show repeated, structured returns by mobile groups, with artifact density and occupational layering indicating planned congregation rather than opportunistic reuse. In DSSM terms, these sites function as synchronization mechanisms: mobility introduces symbolic drift, while periodic aggregation enables public ritual performance, narrative reinforcement, and error correction</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w:t>
      </w:r>
    </w:p>
    <w:p w14:paraId="73C93F3C"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Younger Dryas (c. 12,900–11,700 BCE) then provides the earliest datable stress test. Severe climatic instability repeatedly compressed Nile Valley populations into refugia. Under resource-scarcity models, symbolic elaboration should decline during demographic stress. Instead, Predynastic mortuary formalization intensifies. This is the first of several passed DSSM stress tests: structurally stabilized symbolic systems do not collapse under ecological pressure; they consolidate. By the Badarian period, the Nile Valley symbolic system already meets all four DSSM stabilization criteria — intergenerational repetition, spatial constraint, cross-media redundancy, and stress persistence — despite the complete absence of monuments, agriculture, or writing. The Badarian FCP score of 4.5/12 is therefore not a low score for an early society; it is the measurable surface of a symbolic infrastructure tens of millennia deep.</w:t>
      </w:r>
    </w:p>
    <w:p w14:paraId="0A8BCCFF" w14:textId="77777777" w:rsidR="0023539C" w:rsidRDefault="0023539C" w:rsidP="0029278E">
      <w:pPr>
        <w:keepNext/>
        <w:ind w:firstLine="0"/>
        <w:rPr>
          <w:rFonts w:ascii="Times New Roman" w:hAnsi="Times New Roman" w:cs="Times New Roman"/>
          <w:b/>
          <w:bCs/>
          <w:sz w:val="24"/>
          <w:szCs w:val="24"/>
        </w:rPr>
      </w:pPr>
      <w:r>
        <w:rPr>
          <w:rFonts w:ascii="Times New Roman" w:hAnsi="Times New Roman" w:cs="Times New Roman"/>
          <w:b/>
          <w:bCs/>
          <w:sz w:val="24"/>
          <w:szCs w:val="24"/>
        </w:rPr>
        <w:t>4.3 Badarian Period: Stage 1 and the Evidence Floor</w:t>
      </w:r>
    </w:p>
    <w:p w14:paraId="30441134"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Badarian cultural complex (c. 4500–4000 BCE) earns a total FCP score of approximately 4.5/12 under the 2D min-rule system. This requires explanation, because it would be tempting to score it higher: Badarian cemeteries at Mostagedda and Hammamiya do show consistent burial practices</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and recent bioarchaeological work</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confirms within-cemetery variability constrained within narrow normative ranges. However, applying the min-rule honestly: the E dimension is limited by poor organic preservation, incomplete spatial data from early excavations, and the absence of substantial architecture; the S dimension is limited by the genuine ambiguity of whether standardized mortuary treatment reflects shared symbolic beliefs or shared practical convenience. Both limitations are real, and the min-rule captures both.</w:t>
      </w:r>
    </w:p>
    <w:p w14:paraId="3E54C511"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4.5/12 score is not a claim that Badarian communities lacked symbolic culture. It is a claim that the current archaeological evidence, assessed honestly against both dimensions of the FCP, cannot securely establish more than this. This honesty is the epistemological foundation of DSSM's scientific credibility. It makes the trajectory from 4.5/12 to 12/12 across the sequence genuinely informative rather than decorative.</w:t>
      </w:r>
    </w:p>
    <w:p w14:paraId="0B422BBA" w14:textId="77777777" w:rsidR="0029278E" w:rsidRDefault="0029278E" w:rsidP="0029278E">
      <w:pPr>
        <w:keepNext/>
        <w:ind w:firstLine="0"/>
        <w:rPr>
          <w:rFonts w:ascii="Times New Roman" w:hAnsi="Times New Roman" w:cs="Times New Roman"/>
          <w:b/>
          <w:bCs/>
          <w:sz w:val="26"/>
          <w:szCs w:val="26"/>
        </w:rPr>
      </w:pPr>
    </w:p>
    <w:p w14:paraId="5518FA76" w14:textId="52330B37" w:rsidR="0023539C" w:rsidRDefault="0023539C" w:rsidP="0029278E">
      <w:pPr>
        <w:keepNext/>
        <w:ind w:firstLine="0"/>
        <w:rPr>
          <w:rFonts w:ascii="Times New Roman" w:hAnsi="Times New Roman" w:cs="Times New Roman"/>
          <w:b/>
          <w:bCs/>
          <w:sz w:val="26"/>
          <w:szCs w:val="26"/>
        </w:rPr>
      </w:pPr>
      <w:r>
        <w:rPr>
          <w:rFonts w:ascii="Times New Roman" w:hAnsi="Times New Roman" w:cs="Times New Roman"/>
          <w:b/>
          <w:bCs/>
          <w:sz w:val="26"/>
          <w:szCs w:val="26"/>
        </w:rPr>
        <w:t>4.4 Naqada I–II: The Ritualization Phase and First S-Axis Evidence</w:t>
      </w:r>
    </w:p>
    <w:p w14:paraId="3A4D602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Naqada I and II periods (c. 4000–3200 BCE) represent the first period in which both E and S dimensions rise in tandem, beginning to produce converging min(E, S) scores above 1.5. The Black-topped Red Ware ceramics of Naqada I exhibit declining CV (estimated at 0.38→0.31 across the phase: Stevenson, 2016; Köhler, 2021), providing E-dimension evidence; but it is the distribution of iconographic motifs across geographically dispersed sites — boats, hunting scenes, composite animals — that begins to raise the S dimension above 1.0, since these motifs exceed functional explanation and require an appeal to shared symbolic conventions</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w:t>
      </w:r>
    </w:p>
    <w:p w14:paraId="456F79FC"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Isotopic and provenance analysis of Naqada II prestige goods</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documents exchange networks extending to the Levant and sub-Saharan Africa, confirming that portable symbolic anchors were circulating across distances that preclude face-to-face transmission as the primary mechanism. This is S-dimension evidence for the Portable Symbolic Anchors observable: the objects are functioning as inter-community symbolic media, not merely as economic goods. The min-rule score for this observable rises from approximately 0.5 in the Badarian period to approximately 1.5 in Naqada II, reflecting this genuine interpretive advance.</w:t>
      </w:r>
    </w:p>
    <w:p w14:paraId="46FCE940" w14:textId="77777777" w:rsidR="0029278E" w:rsidRDefault="0029278E" w:rsidP="0029278E">
      <w:pPr>
        <w:keepNext/>
        <w:ind w:firstLine="0"/>
        <w:rPr>
          <w:rFonts w:ascii="Times New Roman" w:hAnsi="Times New Roman" w:cs="Times New Roman"/>
          <w:b/>
          <w:bCs/>
          <w:sz w:val="26"/>
          <w:szCs w:val="26"/>
        </w:rPr>
      </w:pPr>
    </w:p>
    <w:p w14:paraId="60A79801" w14:textId="049443E2" w:rsidR="0023539C" w:rsidRDefault="0023539C" w:rsidP="0029278E">
      <w:pPr>
        <w:keepNext/>
        <w:ind w:firstLine="0"/>
        <w:rPr>
          <w:rFonts w:ascii="Times New Roman" w:hAnsi="Times New Roman" w:cs="Times New Roman"/>
          <w:b/>
          <w:bCs/>
          <w:sz w:val="26"/>
          <w:szCs w:val="26"/>
        </w:rPr>
      </w:pPr>
      <w:r>
        <w:rPr>
          <w:rFonts w:ascii="Times New Roman" w:hAnsi="Times New Roman" w:cs="Times New Roman"/>
          <w:b/>
          <w:bCs/>
          <w:sz w:val="26"/>
          <w:szCs w:val="26"/>
        </w:rPr>
        <w:t>4.5 Hierakonpolis: Stage 2 Peak and the Proto-Institutional Transition</w:t>
      </w:r>
    </w:p>
    <w:p w14:paraId="187F47F1" w14:textId="77777777" w:rsidR="0023539C" w:rsidRPr="0029278E" w:rsidRDefault="0023539C" w:rsidP="008A2B4C">
      <w:pPr>
        <w:rPr>
          <w:rFonts w:asciiTheme="majorBidi" w:hAnsiTheme="majorBidi" w:cstheme="majorBidi"/>
          <w:sz w:val="24"/>
          <w:szCs w:val="24"/>
        </w:rPr>
      </w:pPr>
      <w:r>
        <w:rPr>
          <w:rFonts w:asciiTheme="majorBidi" w:hAnsiTheme="majorBidi" w:cstheme="majorBidi"/>
          <w:sz w:val="24"/>
          <w:szCs w:val="24"/>
        </w:rPr>
        <w:t>The Hierakonpolis ceremonial precinct (HK29A) provides the most detailed record of the Stage 2-to-3 transition. The large-scale brewery installations, stratified ritual pits, and seasonal depositional cycles documented by Friedman (2008), Van Neer et al. (2019), and Bréhard &amp; Bouchud (2019)</w:t>
      </w:r>
      <w:r>
        <w:rPr>
          <w:rStyle w:val="FootnoteReference"/>
          <w:rFonts w:asciiTheme="majorBidi" w:hAnsiTheme="majorBidi" w:cstheme="majorBidi"/>
          <w:sz w:val="24"/>
          <w:szCs w:val="24"/>
        </w:rPr>
        <w:footnoteReference w:id="48"/>
      </w:r>
      <w:r>
        <w:rPr>
          <w:rFonts w:asciiTheme="majorBidi" w:hAnsiTheme="majorBidi" w:cstheme="majorBidi"/>
          <w:sz w:val="24"/>
          <w:szCs w:val="24"/>
        </w:rPr>
        <w:t xml:space="preserve"> raise both E and S dimensions simultaneously. The E dimension improves through extensive excavation data, Bayesian stratigraphic analysis, and zooarchaeological evidence. The S dimension improves because the organizational complexity of HK29A — requiring multi-community logistical coordination of labor, materials, and participants — cannot be explained by functional economic activity alone. The min-rule score for this period averages approximately 1.9, the highest yet in the sequence, but not quite 2.0: the S dimension of the Symbolic Stabilization observable falls slightly below 2 because ceramic CV at approximately 0.24 is above the Stage 3 threshold of 0.15, indicating Stage 2 but not yet Stage 3 completion.</w:t>
      </w:r>
    </w:p>
    <w:p w14:paraId="65F79967"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Tomb 100 at Hierakonpolis (c. 3500–3200 BCE) provides the most significant S-dimension evidence of the period. Its iconographic program — boating, ritual combat, hunting, procession — demonstrates that the symbolic vocabulary later codified in the Narmer Palette was already substantially stabilized before the emergence of writing</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Computational corpus analysis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documents that 68% of early hieroglyphic graphemic elements are traceable to prior material culture — directly supporting P2 and scoring the Externalized Cognition observable at S = 2 from this period forward.</w:t>
      </w:r>
    </w:p>
    <w:p w14:paraId="65D97106" w14:textId="77777777" w:rsidR="0029278E" w:rsidRDefault="0029278E" w:rsidP="0029278E">
      <w:pPr>
        <w:keepNext/>
        <w:ind w:firstLine="0"/>
        <w:rPr>
          <w:rFonts w:ascii="Times New Roman" w:hAnsi="Times New Roman" w:cs="Times New Roman"/>
          <w:b/>
          <w:bCs/>
          <w:sz w:val="26"/>
          <w:szCs w:val="26"/>
        </w:rPr>
      </w:pPr>
    </w:p>
    <w:p w14:paraId="66C4EEBD" w14:textId="12125F29" w:rsidR="0023539C" w:rsidRDefault="0023539C" w:rsidP="0029278E">
      <w:pPr>
        <w:keepNext/>
        <w:ind w:firstLine="0"/>
        <w:rPr>
          <w:rFonts w:ascii="Times New Roman" w:hAnsi="Times New Roman" w:cs="Times New Roman"/>
          <w:b/>
          <w:bCs/>
          <w:sz w:val="26"/>
          <w:szCs w:val="26"/>
        </w:rPr>
      </w:pPr>
      <w:r>
        <w:rPr>
          <w:rFonts w:ascii="Times New Roman" w:hAnsi="Times New Roman" w:cs="Times New Roman"/>
          <w:b/>
          <w:bCs/>
          <w:sz w:val="26"/>
          <w:szCs w:val="26"/>
        </w:rPr>
        <w:t>4.6 Naqada III Through Old Kingdom: Stages 3 and 4</w:t>
      </w:r>
    </w:p>
    <w:p w14:paraId="2C07BF3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Naqada III period (c. 3200–3100 BCE) sees both E and S dimensions reach their ceiling for four of the six observables, producing an average min(E, S) score of approximately 2.0 and a total of 10/12. The emergence of administrative hieroglyphics at Abydos U-j — recording names, quantities, and geographic designators</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 confirms Stage 3 material amplification precisely where DSSM predicts: in the domain where symbolic load most urgently exceeds individual memory capacity. The S dimension for Externalized Cognition reaches 2.0 because these inscriptions cannot be explained by functional labeling conventions alone; they deploy symbolic conventions (the serekh, canonical iconographic forms) that carry meaning beyond their administrative function.</w:t>
      </w:r>
    </w:p>
    <w:p w14:paraId="403EC8A4"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Early Dynastic and Old Kingdom periods (3100–2650 BCE) complete the FCP scoring trajectory, with the Old Kingdom score of 12/12 representing the genuine ceiling of evidence — not a score granted by assumption but one earned by the convergence of multiple independent lines of evidence (administrative papyri, worker settlement archaeology, mastaba programs, pyramid complex organization) all scoring 2/2 on both E and S dimensions. Recent Old Kingdom worker settlement analysis at Giza</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provides exceptionally robust E-dimension evidence; the cosmological, political, and ritual complexity encoded in the pyramid complex provides the corresponding S-dimension confirmation.</w:t>
      </w:r>
    </w:p>
    <w:p w14:paraId="43A40F7F"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rapidity of monumental scaling in the Naqada III and Early Dynastic periods — from modest mastabas to Djoser's Step Pyramid complex in under three centuries — requires explanation that neither surplus accumulation nor administrative innovation adequately provides. DSSM offers a different account: monumental architecture is not the origin of symbolic complexity but its late-stage material compression. Tens of millennia of accumulated ritual grammar — from Upper Paleolithic rock anchors through Predynastic mortuary standardization — generate what may be called symbolic load: the aggregate of symbolic content that a community must transmit, maintain, and protect from drift. When this load exceeds the capacity of oral, embodied, and ceremonial transmission systems (the Stage 3 threshold, Section 2.7), communities face adaptive pressure to externalize symbolic content into durable, spatially fixed, publicly legible material forms.</w:t>
      </w:r>
    </w:p>
    <w:p w14:paraId="07F365C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specific forms that externalization takes in Egypt are not arbitrary. Axial alignments echo the river-cliff orientations of Upper Paleolithic rock art. Enclosures replicate the structured aggregation zones of Epipaleolithic gathering sites. Repetitive motifs — aurochs-derived iconography, bird forms, axial cosmology — externalize cosmological redundancy previously sustained through oral and ochre-body practices. Writing appears concurrently, with early hieroglyphs on Naqada III palettes formalizing pre-existing symbolic relations rather than inventing them</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Monuments and script are therefore parallel outcomes of the same saturation pressure, not a sequential causal chain. This framing also resolves the labor mobilization question: the 20,000+ workers of later pyramid construction leverage pre-state symbolic authority accumulated over millennia, not top-down administrative coercion invented by the state</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w:t>
      </w:r>
    </w:p>
    <w:p w14:paraId="1F93AF87"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This interpretation generates a testable prediction distinct from surplus and administrative models: monumental scaling should correlate with the prior depth and cross-media redundancy of symbolic systems, not with agricultural surplus levels or administrative complexity. Regions with shallow symbolic histories but high surplus should not produce the same monumental stability. Egypt's three-millennium structural stability — axial orientation, mortuary cosmology, and divine kingship persisting from Early Dynastic through Ptolemaic periods across repeated political collapse — is consistent with this prediction and inconsistent with surplus or administrative accounts that cannot explain persistence through the Intermediate Periods</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w:t>
      </w:r>
    </w:p>
    <w:p w14:paraId="65B642C5" w14:textId="77777777" w:rsidR="0029278E" w:rsidRDefault="0029278E" w:rsidP="0029278E">
      <w:pPr>
        <w:keepNext/>
        <w:ind w:firstLine="0"/>
        <w:rPr>
          <w:rFonts w:ascii="Times New Roman" w:hAnsi="Times New Roman" w:cs="Times New Roman"/>
          <w:b/>
          <w:bCs/>
          <w:sz w:val="26"/>
          <w:szCs w:val="26"/>
        </w:rPr>
      </w:pPr>
    </w:p>
    <w:p w14:paraId="7FC17EAB" w14:textId="001CA36D" w:rsidR="0023539C" w:rsidRDefault="0023539C" w:rsidP="0029278E">
      <w:pPr>
        <w:keepNext/>
        <w:ind w:firstLine="0"/>
        <w:rPr>
          <w:rFonts w:ascii="Times New Roman" w:hAnsi="Times New Roman" w:cs="Times New Roman"/>
          <w:b/>
          <w:bCs/>
          <w:sz w:val="26"/>
          <w:szCs w:val="26"/>
        </w:rPr>
      </w:pPr>
      <w:r>
        <w:rPr>
          <w:rFonts w:ascii="Times New Roman" w:hAnsi="Times New Roman" w:cs="Times New Roman"/>
          <w:b/>
          <w:bCs/>
          <w:sz w:val="26"/>
          <w:szCs w:val="26"/>
        </w:rPr>
        <w:t>5. Cross-Regional Comparison and Three Negative Cases</w:t>
      </w:r>
    </w:p>
    <w:p w14:paraId="3D2561E7" w14:textId="77777777" w:rsidR="0023539C" w:rsidRDefault="0023539C" w:rsidP="0029278E">
      <w:pPr>
        <w:keepNext/>
        <w:ind w:firstLine="0"/>
        <w:rPr>
          <w:rFonts w:ascii="Times New Roman" w:hAnsi="Times New Roman" w:cs="Times New Roman"/>
          <w:sz w:val="24"/>
          <w:szCs w:val="24"/>
        </w:rPr>
      </w:pPr>
      <w:r>
        <w:rPr>
          <w:rFonts w:ascii="Times New Roman" w:hAnsi="Times New Roman" w:cs="Times New Roman"/>
          <w:b/>
          <w:bCs/>
          <w:sz w:val="26"/>
          <w:szCs w:val="26"/>
        </w:rPr>
        <w:t>5.1 Positive Cases: 2D Scores Across Five State-Forming Regions</w:t>
      </w:r>
    </w:p>
    <w:p w14:paraId="5E29B774" w14:textId="77777777" w:rsidR="0023539C" w:rsidRDefault="0023539C" w:rsidP="008A2B4C">
      <w:pPr>
        <w:rPr>
          <w:rFonts w:ascii="Times New Roman" w:hAnsi="Times New Roman" w:cs="Times New Roman"/>
          <w:sz w:val="24"/>
          <w:szCs w:val="24"/>
        </w:rPr>
      </w:pPr>
    </w:p>
    <w:p w14:paraId="016FC37F" w14:textId="77777777" w:rsidR="0023539C" w:rsidRDefault="0023539C" w:rsidP="008A2B4C">
      <w:pPr>
        <w:jc w:val="center"/>
        <w:rPr>
          <w:rFonts w:ascii="Times New Roman" w:hAnsi="Times New Roman" w:cs="Times New Roman"/>
          <w:b/>
          <w:bCs/>
          <w:sz w:val="24"/>
          <w:szCs w:val="24"/>
        </w:rPr>
      </w:pPr>
      <w:r>
        <w:rPr>
          <w:rFonts w:ascii="Times New Roman" w:hAnsi="Times New Roman" w:cs="Times New Roman"/>
          <w:b/>
          <w:bCs/>
          <w:sz w:val="24"/>
          <w:szCs w:val="24"/>
        </w:rPr>
        <w:t>Table 4. Cross-Regional 2D FCP Scores: Positive Cases and Three Negative Cases</w:t>
      </w:r>
    </w:p>
    <w:tbl>
      <w:tblPr>
        <w:tblW w:w="8503" w:type="dxa"/>
        <w:jc w:val="center"/>
        <w:tblLayout w:type="fixed"/>
        <w:tblCellMar>
          <w:top w:w="60" w:type="dxa"/>
          <w:left w:w="80" w:type="dxa"/>
          <w:bottom w:w="60" w:type="dxa"/>
          <w:right w:w="80" w:type="dxa"/>
        </w:tblCellMar>
        <w:tblLook w:val="0000" w:firstRow="0" w:lastRow="0" w:firstColumn="0" w:lastColumn="0" w:noHBand="0" w:noVBand="0"/>
      </w:tblPr>
      <w:tblGrid>
        <w:gridCol w:w="1246"/>
        <w:gridCol w:w="2577"/>
        <w:gridCol w:w="992"/>
        <w:gridCol w:w="850"/>
        <w:gridCol w:w="583"/>
        <w:gridCol w:w="601"/>
        <w:gridCol w:w="729"/>
        <w:gridCol w:w="925"/>
      </w:tblGrid>
      <w:tr w:rsidR="0023539C" w14:paraId="146B3A06" w14:textId="77777777" w:rsidTr="001860EF">
        <w:trPr>
          <w:tblHeader/>
          <w:jc w:val="center"/>
        </w:trPr>
        <w:tc>
          <w:tcPr>
            <w:tcW w:w="12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B9742"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Region</w:t>
            </w:r>
          </w:p>
        </w:tc>
        <w:tc>
          <w:tcPr>
            <w:tcW w:w="2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69AB1"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Symbolic Stabilisation Evidence</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F943D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Temporal Lag</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BF97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E avg</w:t>
            </w:r>
          </w:p>
        </w:tc>
        <w:tc>
          <w:tcPr>
            <w:tcW w:w="5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D9E0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S avg</w:t>
            </w:r>
          </w:p>
        </w:tc>
        <w:tc>
          <w:tcPr>
            <w:tcW w:w="6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41F9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Min (E,S)</w:t>
            </w:r>
          </w:p>
        </w:tc>
        <w:tc>
          <w:tcPr>
            <w:tcW w:w="7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6C2AB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DSSM Total</w:t>
            </w:r>
          </w:p>
        </w:tc>
        <w:tc>
          <w:tcPr>
            <w:tcW w:w="9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E6526"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b/>
                <w:bCs/>
                <w:sz w:val="20"/>
                <w:szCs w:val="20"/>
              </w:rPr>
              <w:t>State Formed?</w:t>
            </w:r>
          </w:p>
        </w:tc>
      </w:tr>
      <w:tr w:rsidR="0023539C" w14:paraId="07AD3783"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709DBC2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Nile Valley (Egypt)</w:t>
            </w:r>
          </w:p>
        </w:tc>
        <w:tc>
          <w:tcPr>
            <w:tcW w:w="2577" w:type="dxa"/>
            <w:tcBorders>
              <w:top w:val="single" w:sz="4" w:space="0" w:color="000000"/>
              <w:left w:val="single" w:sz="4" w:space="0" w:color="000000"/>
              <w:bottom w:val="single" w:sz="4" w:space="0" w:color="000000"/>
              <w:right w:val="single" w:sz="4" w:space="0" w:color="000000"/>
            </w:tcBorders>
            <w:vAlign w:val="center"/>
          </w:tcPr>
          <w:p w14:paraId="6E47814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Badarian burials (c. 4500 BCE); Naqada ceramic iconography; Hierakonpolis complex; declining CV across full sequence</w:t>
            </w:r>
          </w:p>
        </w:tc>
        <w:tc>
          <w:tcPr>
            <w:tcW w:w="992" w:type="dxa"/>
            <w:tcBorders>
              <w:top w:val="single" w:sz="4" w:space="0" w:color="000000"/>
              <w:left w:val="single" w:sz="4" w:space="0" w:color="000000"/>
              <w:bottom w:val="single" w:sz="4" w:space="0" w:color="000000"/>
              <w:right w:val="single" w:sz="4" w:space="0" w:color="000000"/>
            </w:tcBorders>
            <w:vAlign w:val="center"/>
          </w:tcPr>
          <w:p w14:paraId="48365BBA"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~1,200 yrs</w:t>
            </w:r>
          </w:p>
        </w:tc>
        <w:tc>
          <w:tcPr>
            <w:tcW w:w="850" w:type="dxa"/>
            <w:tcBorders>
              <w:top w:val="single" w:sz="4" w:space="0" w:color="000000"/>
              <w:left w:val="single" w:sz="4" w:space="0" w:color="000000"/>
              <w:bottom w:val="single" w:sz="4" w:space="0" w:color="000000"/>
              <w:right w:val="single" w:sz="4" w:space="0" w:color="000000"/>
            </w:tcBorders>
            <w:vAlign w:val="center"/>
          </w:tcPr>
          <w:p w14:paraId="6869C29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2.0</w:t>
            </w:r>
          </w:p>
        </w:tc>
        <w:tc>
          <w:tcPr>
            <w:tcW w:w="583" w:type="dxa"/>
            <w:tcBorders>
              <w:top w:val="single" w:sz="4" w:space="0" w:color="000000"/>
              <w:left w:val="single" w:sz="4" w:space="0" w:color="000000"/>
              <w:bottom w:val="single" w:sz="4" w:space="0" w:color="000000"/>
              <w:right w:val="single" w:sz="4" w:space="0" w:color="000000"/>
            </w:tcBorders>
            <w:vAlign w:val="center"/>
          </w:tcPr>
          <w:p w14:paraId="3C59FFE8"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2.0</w:t>
            </w:r>
          </w:p>
        </w:tc>
        <w:tc>
          <w:tcPr>
            <w:tcW w:w="601" w:type="dxa"/>
            <w:tcBorders>
              <w:top w:val="single" w:sz="4" w:space="0" w:color="000000"/>
              <w:left w:val="single" w:sz="4" w:space="0" w:color="000000"/>
              <w:bottom w:val="single" w:sz="4" w:space="0" w:color="000000"/>
              <w:right w:val="single" w:sz="4" w:space="0" w:color="000000"/>
            </w:tcBorders>
            <w:vAlign w:val="center"/>
          </w:tcPr>
          <w:p w14:paraId="63BB28D7"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2.0</w:t>
            </w:r>
          </w:p>
        </w:tc>
        <w:tc>
          <w:tcPr>
            <w:tcW w:w="729" w:type="dxa"/>
            <w:tcBorders>
              <w:top w:val="single" w:sz="4" w:space="0" w:color="000000"/>
              <w:left w:val="single" w:sz="4" w:space="0" w:color="000000"/>
              <w:bottom w:val="single" w:sz="4" w:space="0" w:color="000000"/>
              <w:right w:val="single" w:sz="4" w:space="0" w:color="000000"/>
            </w:tcBorders>
            <w:vAlign w:val="center"/>
          </w:tcPr>
          <w:p w14:paraId="1E1ABDD6"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12/12</w:t>
            </w:r>
          </w:p>
        </w:tc>
        <w:tc>
          <w:tcPr>
            <w:tcW w:w="925" w:type="dxa"/>
            <w:tcBorders>
              <w:top w:val="single" w:sz="4" w:space="0" w:color="000000"/>
              <w:left w:val="single" w:sz="4" w:space="0" w:color="000000"/>
              <w:bottom w:val="single" w:sz="4" w:space="0" w:color="000000"/>
              <w:right w:val="single" w:sz="4" w:space="0" w:color="000000"/>
            </w:tcBorders>
            <w:vAlign w:val="center"/>
          </w:tcPr>
          <w:p w14:paraId="02F18CA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w:t>
            </w:r>
          </w:p>
        </w:tc>
      </w:tr>
      <w:tr w:rsidR="0023539C" w14:paraId="5FF7F38C"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1B375E7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Mesopotamia</w:t>
            </w:r>
          </w:p>
        </w:tc>
        <w:tc>
          <w:tcPr>
            <w:tcW w:w="2577" w:type="dxa"/>
            <w:tcBorders>
              <w:top w:val="single" w:sz="4" w:space="0" w:color="000000"/>
              <w:left w:val="single" w:sz="4" w:space="0" w:color="000000"/>
              <w:bottom w:val="single" w:sz="4" w:space="0" w:color="000000"/>
              <w:right w:val="single" w:sz="4" w:space="0" w:color="000000"/>
            </w:tcBorders>
            <w:vAlign w:val="center"/>
          </w:tcPr>
          <w:p w14:paraId="362F6C0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Ubaid spatial regularisation, communal feasting, standardised ceramics (c. 6500–3800 BCE)</w:t>
            </w:r>
          </w:p>
        </w:tc>
        <w:tc>
          <w:tcPr>
            <w:tcW w:w="992" w:type="dxa"/>
            <w:tcBorders>
              <w:top w:val="single" w:sz="4" w:space="0" w:color="000000"/>
              <w:left w:val="single" w:sz="4" w:space="0" w:color="000000"/>
              <w:bottom w:val="single" w:sz="4" w:space="0" w:color="000000"/>
              <w:right w:val="single" w:sz="4" w:space="0" w:color="000000"/>
            </w:tcBorders>
            <w:vAlign w:val="center"/>
          </w:tcPr>
          <w:p w14:paraId="544F7E8D"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~2,000+ yrs</w:t>
            </w:r>
          </w:p>
        </w:tc>
        <w:tc>
          <w:tcPr>
            <w:tcW w:w="850" w:type="dxa"/>
            <w:tcBorders>
              <w:top w:val="single" w:sz="4" w:space="0" w:color="000000"/>
              <w:left w:val="single" w:sz="4" w:space="0" w:color="000000"/>
              <w:bottom w:val="single" w:sz="4" w:space="0" w:color="000000"/>
              <w:right w:val="single" w:sz="4" w:space="0" w:color="000000"/>
            </w:tcBorders>
            <w:vAlign w:val="center"/>
          </w:tcPr>
          <w:p w14:paraId="08B6C616"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1.9</w:t>
            </w:r>
          </w:p>
        </w:tc>
        <w:tc>
          <w:tcPr>
            <w:tcW w:w="583" w:type="dxa"/>
            <w:tcBorders>
              <w:top w:val="single" w:sz="4" w:space="0" w:color="000000"/>
              <w:left w:val="single" w:sz="4" w:space="0" w:color="000000"/>
              <w:bottom w:val="single" w:sz="4" w:space="0" w:color="000000"/>
              <w:right w:val="single" w:sz="4" w:space="0" w:color="000000"/>
            </w:tcBorders>
            <w:vAlign w:val="center"/>
          </w:tcPr>
          <w:p w14:paraId="66D9EBD1"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1.8</w:t>
            </w:r>
          </w:p>
        </w:tc>
        <w:tc>
          <w:tcPr>
            <w:tcW w:w="601" w:type="dxa"/>
            <w:tcBorders>
              <w:top w:val="single" w:sz="4" w:space="0" w:color="000000"/>
              <w:left w:val="single" w:sz="4" w:space="0" w:color="000000"/>
              <w:bottom w:val="single" w:sz="4" w:space="0" w:color="000000"/>
              <w:right w:val="single" w:sz="4" w:space="0" w:color="000000"/>
            </w:tcBorders>
            <w:vAlign w:val="center"/>
          </w:tcPr>
          <w:p w14:paraId="5138A91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1.8</w:t>
            </w:r>
          </w:p>
        </w:tc>
        <w:tc>
          <w:tcPr>
            <w:tcW w:w="729" w:type="dxa"/>
            <w:tcBorders>
              <w:top w:val="single" w:sz="4" w:space="0" w:color="000000"/>
              <w:left w:val="single" w:sz="4" w:space="0" w:color="000000"/>
              <w:bottom w:val="single" w:sz="4" w:space="0" w:color="000000"/>
              <w:right w:val="single" w:sz="4" w:space="0" w:color="000000"/>
            </w:tcBorders>
            <w:vAlign w:val="center"/>
          </w:tcPr>
          <w:p w14:paraId="05BC7E8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11/12</w:t>
            </w:r>
          </w:p>
        </w:tc>
        <w:tc>
          <w:tcPr>
            <w:tcW w:w="925" w:type="dxa"/>
            <w:tcBorders>
              <w:top w:val="single" w:sz="4" w:space="0" w:color="000000"/>
              <w:left w:val="single" w:sz="4" w:space="0" w:color="000000"/>
              <w:bottom w:val="single" w:sz="4" w:space="0" w:color="000000"/>
              <w:right w:val="single" w:sz="4" w:space="0" w:color="000000"/>
            </w:tcBorders>
            <w:vAlign w:val="center"/>
          </w:tcPr>
          <w:p w14:paraId="2B4DBA7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w:t>
            </w:r>
          </w:p>
        </w:tc>
      </w:tr>
      <w:tr w:rsidR="0023539C" w14:paraId="1AEA5EE5"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46472D28"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Indus Valley</w:t>
            </w:r>
          </w:p>
        </w:tc>
        <w:tc>
          <w:tcPr>
            <w:tcW w:w="2577" w:type="dxa"/>
            <w:tcBorders>
              <w:top w:val="single" w:sz="4" w:space="0" w:color="000000"/>
              <w:left w:val="single" w:sz="4" w:space="0" w:color="000000"/>
              <w:bottom w:val="single" w:sz="4" w:space="0" w:color="000000"/>
              <w:right w:val="single" w:sz="4" w:space="0" w:color="000000"/>
            </w:tcBorders>
            <w:vAlign w:val="center"/>
          </w:tcPr>
          <w:p w14:paraId="339C3591"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Pre-Harappan craft standardisation, settlement planning, standardised weights (c. 3500–2600 BCE)</w:t>
            </w:r>
          </w:p>
        </w:tc>
        <w:tc>
          <w:tcPr>
            <w:tcW w:w="992" w:type="dxa"/>
            <w:tcBorders>
              <w:top w:val="single" w:sz="4" w:space="0" w:color="000000"/>
              <w:left w:val="single" w:sz="4" w:space="0" w:color="000000"/>
              <w:bottom w:val="single" w:sz="4" w:space="0" w:color="000000"/>
              <w:right w:val="single" w:sz="4" w:space="0" w:color="000000"/>
            </w:tcBorders>
            <w:vAlign w:val="center"/>
          </w:tcPr>
          <w:p w14:paraId="0ABFD3F2"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~600–900 yrs</w:t>
            </w:r>
          </w:p>
        </w:tc>
        <w:tc>
          <w:tcPr>
            <w:tcW w:w="850" w:type="dxa"/>
            <w:tcBorders>
              <w:top w:val="single" w:sz="4" w:space="0" w:color="000000"/>
              <w:left w:val="single" w:sz="4" w:space="0" w:color="000000"/>
              <w:bottom w:val="single" w:sz="4" w:space="0" w:color="000000"/>
              <w:right w:val="single" w:sz="4" w:space="0" w:color="000000"/>
            </w:tcBorders>
            <w:vAlign w:val="center"/>
          </w:tcPr>
          <w:p w14:paraId="7C329D56"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1.8</w:t>
            </w:r>
          </w:p>
        </w:tc>
        <w:tc>
          <w:tcPr>
            <w:tcW w:w="583" w:type="dxa"/>
            <w:tcBorders>
              <w:top w:val="single" w:sz="4" w:space="0" w:color="000000"/>
              <w:left w:val="single" w:sz="4" w:space="0" w:color="000000"/>
              <w:bottom w:val="single" w:sz="4" w:space="0" w:color="000000"/>
              <w:right w:val="single" w:sz="4" w:space="0" w:color="000000"/>
            </w:tcBorders>
            <w:vAlign w:val="center"/>
          </w:tcPr>
          <w:p w14:paraId="3CCAF5D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1.7</w:t>
            </w:r>
          </w:p>
        </w:tc>
        <w:tc>
          <w:tcPr>
            <w:tcW w:w="601" w:type="dxa"/>
            <w:tcBorders>
              <w:top w:val="single" w:sz="4" w:space="0" w:color="000000"/>
              <w:left w:val="single" w:sz="4" w:space="0" w:color="000000"/>
              <w:bottom w:val="single" w:sz="4" w:space="0" w:color="000000"/>
              <w:right w:val="single" w:sz="4" w:space="0" w:color="000000"/>
            </w:tcBorders>
            <w:vAlign w:val="center"/>
          </w:tcPr>
          <w:p w14:paraId="5144F2EB"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1.7</w:t>
            </w:r>
          </w:p>
        </w:tc>
        <w:tc>
          <w:tcPr>
            <w:tcW w:w="729" w:type="dxa"/>
            <w:tcBorders>
              <w:top w:val="single" w:sz="4" w:space="0" w:color="000000"/>
              <w:left w:val="single" w:sz="4" w:space="0" w:color="000000"/>
              <w:bottom w:val="single" w:sz="4" w:space="0" w:color="000000"/>
              <w:right w:val="single" w:sz="4" w:space="0" w:color="000000"/>
            </w:tcBorders>
            <w:vAlign w:val="center"/>
          </w:tcPr>
          <w:p w14:paraId="5D2810B7"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10/12</w:t>
            </w:r>
          </w:p>
        </w:tc>
        <w:tc>
          <w:tcPr>
            <w:tcW w:w="925" w:type="dxa"/>
            <w:tcBorders>
              <w:top w:val="single" w:sz="4" w:space="0" w:color="000000"/>
              <w:left w:val="single" w:sz="4" w:space="0" w:color="000000"/>
              <w:bottom w:val="single" w:sz="4" w:space="0" w:color="000000"/>
              <w:right w:val="single" w:sz="4" w:space="0" w:color="000000"/>
            </w:tcBorders>
            <w:vAlign w:val="center"/>
          </w:tcPr>
          <w:p w14:paraId="6516132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w:t>
            </w:r>
          </w:p>
        </w:tc>
      </w:tr>
      <w:tr w:rsidR="0023539C" w14:paraId="3A288E15"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2C473DDA"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East Asia</w:t>
            </w:r>
          </w:p>
        </w:tc>
        <w:tc>
          <w:tcPr>
            <w:tcW w:w="2577" w:type="dxa"/>
            <w:tcBorders>
              <w:top w:val="single" w:sz="4" w:space="0" w:color="000000"/>
              <w:left w:val="single" w:sz="4" w:space="0" w:color="000000"/>
              <w:bottom w:val="single" w:sz="4" w:space="0" w:color="000000"/>
              <w:right w:val="single" w:sz="4" w:space="0" w:color="000000"/>
            </w:tcBorders>
            <w:vAlign w:val="center"/>
          </w:tcPr>
          <w:p w14:paraId="441C92B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Hongshan/Liangzhu jade networks; oracle bone precursors; Yangshao/Longshan ceramics</w:t>
            </w:r>
          </w:p>
        </w:tc>
        <w:tc>
          <w:tcPr>
            <w:tcW w:w="992" w:type="dxa"/>
            <w:tcBorders>
              <w:top w:val="single" w:sz="4" w:space="0" w:color="000000"/>
              <w:left w:val="single" w:sz="4" w:space="0" w:color="000000"/>
              <w:bottom w:val="single" w:sz="4" w:space="0" w:color="000000"/>
              <w:right w:val="single" w:sz="4" w:space="0" w:color="000000"/>
            </w:tcBorders>
            <w:vAlign w:val="center"/>
          </w:tcPr>
          <w:p w14:paraId="17343026"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~1,200+ yrs</w:t>
            </w:r>
          </w:p>
        </w:tc>
        <w:tc>
          <w:tcPr>
            <w:tcW w:w="850" w:type="dxa"/>
            <w:tcBorders>
              <w:top w:val="single" w:sz="4" w:space="0" w:color="000000"/>
              <w:left w:val="single" w:sz="4" w:space="0" w:color="000000"/>
              <w:bottom w:val="single" w:sz="4" w:space="0" w:color="000000"/>
              <w:right w:val="single" w:sz="4" w:space="0" w:color="000000"/>
            </w:tcBorders>
            <w:vAlign w:val="center"/>
          </w:tcPr>
          <w:p w14:paraId="4827DCD9"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1.7</w:t>
            </w:r>
          </w:p>
        </w:tc>
        <w:tc>
          <w:tcPr>
            <w:tcW w:w="583" w:type="dxa"/>
            <w:tcBorders>
              <w:top w:val="single" w:sz="4" w:space="0" w:color="000000"/>
              <w:left w:val="single" w:sz="4" w:space="0" w:color="000000"/>
              <w:bottom w:val="single" w:sz="4" w:space="0" w:color="000000"/>
              <w:right w:val="single" w:sz="4" w:space="0" w:color="000000"/>
            </w:tcBorders>
            <w:vAlign w:val="center"/>
          </w:tcPr>
          <w:p w14:paraId="3C504FC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1.6</w:t>
            </w:r>
          </w:p>
        </w:tc>
        <w:tc>
          <w:tcPr>
            <w:tcW w:w="601" w:type="dxa"/>
            <w:tcBorders>
              <w:top w:val="single" w:sz="4" w:space="0" w:color="000000"/>
              <w:left w:val="single" w:sz="4" w:space="0" w:color="000000"/>
              <w:bottom w:val="single" w:sz="4" w:space="0" w:color="000000"/>
              <w:right w:val="single" w:sz="4" w:space="0" w:color="000000"/>
            </w:tcBorders>
            <w:vAlign w:val="center"/>
          </w:tcPr>
          <w:p w14:paraId="7010F15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1.6</w:t>
            </w:r>
          </w:p>
        </w:tc>
        <w:tc>
          <w:tcPr>
            <w:tcW w:w="729" w:type="dxa"/>
            <w:tcBorders>
              <w:top w:val="single" w:sz="4" w:space="0" w:color="000000"/>
              <w:left w:val="single" w:sz="4" w:space="0" w:color="000000"/>
              <w:bottom w:val="single" w:sz="4" w:space="0" w:color="000000"/>
              <w:right w:val="single" w:sz="4" w:space="0" w:color="000000"/>
            </w:tcBorders>
            <w:vAlign w:val="center"/>
          </w:tcPr>
          <w:p w14:paraId="55084A7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10/12</w:t>
            </w:r>
          </w:p>
        </w:tc>
        <w:tc>
          <w:tcPr>
            <w:tcW w:w="925" w:type="dxa"/>
            <w:tcBorders>
              <w:top w:val="single" w:sz="4" w:space="0" w:color="000000"/>
              <w:left w:val="single" w:sz="4" w:space="0" w:color="000000"/>
              <w:bottom w:val="single" w:sz="4" w:space="0" w:color="000000"/>
              <w:right w:val="single" w:sz="4" w:space="0" w:color="000000"/>
            </w:tcBorders>
            <w:vAlign w:val="center"/>
          </w:tcPr>
          <w:p w14:paraId="3A1E5ED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w:t>
            </w:r>
          </w:p>
        </w:tc>
      </w:tr>
      <w:tr w:rsidR="0023539C" w14:paraId="40F09C16"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40DF95C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Mesoamerica</w:t>
            </w:r>
          </w:p>
        </w:tc>
        <w:tc>
          <w:tcPr>
            <w:tcW w:w="2577" w:type="dxa"/>
            <w:tcBorders>
              <w:top w:val="single" w:sz="4" w:space="0" w:color="000000"/>
              <w:left w:val="single" w:sz="4" w:space="0" w:color="000000"/>
              <w:bottom w:val="single" w:sz="4" w:space="0" w:color="000000"/>
              <w:right w:val="single" w:sz="4" w:space="0" w:color="000000"/>
            </w:tcBorders>
            <w:vAlign w:val="center"/>
          </w:tcPr>
          <w:p w14:paraId="5C816DBF"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Olmec ritual networks; Formative ceramic standardisation; calendrical repetition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6C5C27A7"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~1,500+ yrs</w:t>
            </w:r>
          </w:p>
        </w:tc>
        <w:tc>
          <w:tcPr>
            <w:tcW w:w="850" w:type="dxa"/>
            <w:tcBorders>
              <w:top w:val="single" w:sz="4" w:space="0" w:color="000000"/>
              <w:left w:val="single" w:sz="4" w:space="0" w:color="000000"/>
              <w:bottom w:val="single" w:sz="4" w:space="0" w:color="000000"/>
              <w:right w:val="single" w:sz="4" w:space="0" w:color="000000"/>
            </w:tcBorders>
            <w:vAlign w:val="center"/>
          </w:tcPr>
          <w:p w14:paraId="266A27C2"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1.7</w:t>
            </w:r>
          </w:p>
        </w:tc>
        <w:tc>
          <w:tcPr>
            <w:tcW w:w="583" w:type="dxa"/>
            <w:tcBorders>
              <w:top w:val="single" w:sz="4" w:space="0" w:color="000000"/>
              <w:left w:val="single" w:sz="4" w:space="0" w:color="000000"/>
              <w:bottom w:val="single" w:sz="4" w:space="0" w:color="000000"/>
              <w:right w:val="single" w:sz="4" w:space="0" w:color="000000"/>
            </w:tcBorders>
            <w:vAlign w:val="center"/>
          </w:tcPr>
          <w:p w14:paraId="5183FB2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1.5</w:t>
            </w:r>
          </w:p>
        </w:tc>
        <w:tc>
          <w:tcPr>
            <w:tcW w:w="601" w:type="dxa"/>
            <w:tcBorders>
              <w:top w:val="single" w:sz="4" w:space="0" w:color="000000"/>
              <w:left w:val="single" w:sz="4" w:space="0" w:color="000000"/>
              <w:bottom w:val="single" w:sz="4" w:space="0" w:color="000000"/>
              <w:right w:val="single" w:sz="4" w:space="0" w:color="000000"/>
            </w:tcBorders>
            <w:vAlign w:val="center"/>
          </w:tcPr>
          <w:p w14:paraId="4F4680B9"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1.5</w:t>
            </w:r>
          </w:p>
        </w:tc>
        <w:tc>
          <w:tcPr>
            <w:tcW w:w="729" w:type="dxa"/>
            <w:tcBorders>
              <w:top w:val="single" w:sz="4" w:space="0" w:color="000000"/>
              <w:left w:val="single" w:sz="4" w:space="0" w:color="000000"/>
              <w:bottom w:val="single" w:sz="4" w:space="0" w:color="000000"/>
              <w:right w:val="single" w:sz="4" w:space="0" w:color="000000"/>
            </w:tcBorders>
            <w:vAlign w:val="center"/>
          </w:tcPr>
          <w:p w14:paraId="5EC5219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9/12</w:t>
            </w:r>
          </w:p>
        </w:tc>
        <w:tc>
          <w:tcPr>
            <w:tcW w:w="925" w:type="dxa"/>
            <w:tcBorders>
              <w:top w:val="single" w:sz="4" w:space="0" w:color="000000"/>
              <w:left w:val="single" w:sz="4" w:space="0" w:color="000000"/>
              <w:bottom w:val="single" w:sz="4" w:space="0" w:color="000000"/>
              <w:right w:val="single" w:sz="4" w:space="0" w:color="000000"/>
            </w:tcBorders>
            <w:vAlign w:val="center"/>
          </w:tcPr>
          <w:p w14:paraId="4BA62BF1"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w:t>
            </w:r>
          </w:p>
        </w:tc>
      </w:tr>
      <w:tr w:rsidR="0023539C" w14:paraId="676FD7A2"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69A0C22B"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Sub-Saharan Africa*</w:t>
            </w:r>
          </w:p>
        </w:tc>
        <w:tc>
          <w:tcPr>
            <w:tcW w:w="2577" w:type="dxa"/>
            <w:tcBorders>
              <w:top w:val="single" w:sz="4" w:space="0" w:color="000000"/>
              <w:left w:val="single" w:sz="4" w:space="0" w:color="000000"/>
              <w:bottom w:val="single" w:sz="4" w:space="0" w:color="000000"/>
              <w:right w:val="single" w:sz="4" w:space="0" w:color="000000"/>
            </w:tcBorders>
            <w:vAlign w:val="center"/>
          </w:tcPr>
          <w:p w14:paraId="5745E51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Rock art, ochre use; ritual aggregation; HIGH Stage 1–2 scores. Stage 3 (portable anchors, material amplification) absent or fragmented.</w:t>
            </w:r>
          </w:p>
        </w:tc>
        <w:tc>
          <w:tcPr>
            <w:tcW w:w="992" w:type="dxa"/>
            <w:tcBorders>
              <w:top w:val="single" w:sz="4" w:space="0" w:color="000000"/>
              <w:left w:val="single" w:sz="4" w:space="0" w:color="000000"/>
              <w:bottom w:val="single" w:sz="4" w:space="0" w:color="000000"/>
              <w:right w:val="single" w:sz="4" w:space="0" w:color="000000"/>
            </w:tcBorders>
            <w:vAlign w:val="center"/>
          </w:tcPr>
          <w:p w14:paraId="2F721AF7"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N/A</w:t>
            </w:r>
          </w:p>
        </w:tc>
        <w:tc>
          <w:tcPr>
            <w:tcW w:w="850" w:type="dxa"/>
            <w:tcBorders>
              <w:top w:val="single" w:sz="4" w:space="0" w:color="000000"/>
              <w:left w:val="single" w:sz="4" w:space="0" w:color="000000"/>
              <w:bottom w:val="single" w:sz="4" w:space="0" w:color="000000"/>
              <w:right w:val="single" w:sz="4" w:space="0" w:color="000000"/>
            </w:tcBorders>
            <w:vAlign w:val="center"/>
          </w:tcPr>
          <w:p w14:paraId="47814262"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1.8</w:t>
            </w:r>
          </w:p>
        </w:tc>
        <w:tc>
          <w:tcPr>
            <w:tcW w:w="583" w:type="dxa"/>
            <w:tcBorders>
              <w:top w:val="single" w:sz="4" w:space="0" w:color="000000"/>
              <w:left w:val="single" w:sz="4" w:space="0" w:color="000000"/>
              <w:bottom w:val="single" w:sz="4" w:space="0" w:color="000000"/>
              <w:right w:val="single" w:sz="4" w:space="0" w:color="000000"/>
            </w:tcBorders>
            <w:vAlign w:val="center"/>
          </w:tcPr>
          <w:p w14:paraId="44DC7C79"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0.7</w:t>
            </w:r>
          </w:p>
        </w:tc>
        <w:tc>
          <w:tcPr>
            <w:tcW w:w="601" w:type="dxa"/>
            <w:tcBorders>
              <w:top w:val="single" w:sz="4" w:space="0" w:color="000000"/>
              <w:left w:val="single" w:sz="4" w:space="0" w:color="000000"/>
              <w:bottom w:val="single" w:sz="4" w:space="0" w:color="000000"/>
              <w:right w:val="single" w:sz="4" w:space="0" w:color="000000"/>
            </w:tcBorders>
            <w:vAlign w:val="center"/>
          </w:tcPr>
          <w:p w14:paraId="59A003C0"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0.7</w:t>
            </w:r>
          </w:p>
        </w:tc>
        <w:tc>
          <w:tcPr>
            <w:tcW w:w="729" w:type="dxa"/>
            <w:tcBorders>
              <w:top w:val="single" w:sz="4" w:space="0" w:color="000000"/>
              <w:left w:val="single" w:sz="4" w:space="0" w:color="000000"/>
              <w:bottom w:val="single" w:sz="4" w:space="0" w:color="000000"/>
              <w:right w:val="single" w:sz="4" w:space="0" w:color="000000"/>
            </w:tcBorders>
            <w:vAlign w:val="center"/>
          </w:tcPr>
          <w:p w14:paraId="6ABCB5C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6/12</w:t>
            </w:r>
          </w:p>
        </w:tc>
        <w:tc>
          <w:tcPr>
            <w:tcW w:w="925" w:type="dxa"/>
            <w:tcBorders>
              <w:top w:val="single" w:sz="4" w:space="0" w:color="000000"/>
              <w:left w:val="single" w:sz="4" w:space="0" w:color="000000"/>
              <w:bottom w:val="single" w:sz="4" w:space="0" w:color="000000"/>
              <w:right w:val="single" w:sz="4" w:space="0" w:color="000000"/>
            </w:tcBorders>
            <w:vAlign w:val="center"/>
          </w:tcPr>
          <w:p w14:paraId="6495F1F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No</w:t>
            </w:r>
          </w:p>
        </w:tc>
      </w:tr>
      <w:tr w:rsidR="0023539C" w14:paraId="445DCC12"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48B05252"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Prehistoric Australia*</w:t>
            </w:r>
          </w:p>
        </w:tc>
        <w:tc>
          <w:tcPr>
            <w:tcW w:w="2577" w:type="dxa"/>
            <w:tcBorders>
              <w:top w:val="single" w:sz="4" w:space="0" w:color="000000"/>
              <w:left w:val="single" w:sz="4" w:space="0" w:color="000000"/>
              <w:bottom w:val="single" w:sz="4" w:space="0" w:color="000000"/>
              <w:right w:val="single" w:sz="4" w:space="0" w:color="000000"/>
            </w:tcBorders>
            <w:vAlign w:val="center"/>
          </w:tcPr>
          <w:p w14:paraId="2F52DFEB"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Extraordinary symbolic richness (Dreaming, ceremonies); HIGH Stage 1–2 scores. Stage 3 structurally absent — no material externalisation by design.</w:t>
            </w:r>
          </w:p>
        </w:tc>
        <w:tc>
          <w:tcPr>
            <w:tcW w:w="992" w:type="dxa"/>
            <w:tcBorders>
              <w:top w:val="single" w:sz="4" w:space="0" w:color="000000"/>
              <w:left w:val="single" w:sz="4" w:space="0" w:color="000000"/>
              <w:bottom w:val="single" w:sz="4" w:space="0" w:color="000000"/>
              <w:right w:val="single" w:sz="4" w:space="0" w:color="000000"/>
            </w:tcBorders>
            <w:vAlign w:val="center"/>
          </w:tcPr>
          <w:p w14:paraId="196502D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N/A</w:t>
            </w:r>
          </w:p>
        </w:tc>
        <w:tc>
          <w:tcPr>
            <w:tcW w:w="850" w:type="dxa"/>
            <w:tcBorders>
              <w:top w:val="single" w:sz="4" w:space="0" w:color="000000"/>
              <w:left w:val="single" w:sz="4" w:space="0" w:color="000000"/>
              <w:bottom w:val="single" w:sz="4" w:space="0" w:color="000000"/>
              <w:right w:val="single" w:sz="4" w:space="0" w:color="000000"/>
            </w:tcBorders>
            <w:vAlign w:val="center"/>
          </w:tcPr>
          <w:p w14:paraId="532A4B4B"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1.9</w:t>
            </w:r>
          </w:p>
        </w:tc>
        <w:tc>
          <w:tcPr>
            <w:tcW w:w="583" w:type="dxa"/>
            <w:tcBorders>
              <w:top w:val="single" w:sz="4" w:space="0" w:color="000000"/>
              <w:left w:val="single" w:sz="4" w:space="0" w:color="000000"/>
              <w:bottom w:val="single" w:sz="4" w:space="0" w:color="000000"/>
              <w:right w:val="single" w:sz="4" w:space="0" w:color="000000"/>
            </w:tcBorders>
            <w:vAlign w:val="center"/>
          </w:tcPr>
          <w:p w14:paraId="189752A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0.6</w:t>
            </w:r>
          </w:p>
        </w:tc>
        <w:tc>
          <w:tcPr>
            <w:tcW w:w="601" w:type="dxa"/>
            <w:tcBorders>
              <w:top w:val="single" w:sz="4" w:space="0" w:color="000000"/>
              <w:left w:val="single" w:sz="4" w:space="0" w:color="000000"/>
              <w:bottom w:val="single" w:sz="4" w:space="0" w:color="000000"/>
              <w:right w:val="single" w:sz="4" w:space="0" w:color="000000"/>
            </w:tcBorders>
            <w:vAlign w:val="center"/>
          </w:tcPr>
          <w:p w14:paraId="004A219E"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0.6</w:t>
            </w:r>
          </w:p>
        </w:tc>
        <w:tc>
          <w:tcPr>
            <w:tcW w:w="729" w:type="dxa"/>
            <w:tcBorders>
              <w:top w:val="single" w:sz="4" w:space="0" w:color="000000"/>
              <w:left w:val="single" w:sz="4" w:space="0" w:color="000000"/>
              <w:bottom w:val="single" w:sz="4" w:space="0" w:color="000000"/>
              <w:right w:val="single" w:sz="4" w:space="0" w:color="000000"/>
            </w:tcBorders>
            <w:vAlign w:val="center"/>
          </w:tcPr>
          <w:p w14:paraId="36F85B2D"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6/12</w:t>
            </w:r>
          </w:p>
        </w:tc>
        <w:tc>
          <w:tcPr>
            <w:tcW w:w="925" w:type="dxa"/>
            <w:tcBorders>
              <w:top w:val="single" w:sz="4" w:space="0" w:color="000000"/>
              <w:left w:val="single" w:sz="4" w:space="0" w:color="000000"/>
              <w:bottom w:val="single" w:sz="4" w:space="0" w:color="000000"/>
              <w:right w:val="single" w:sz="4" w:space="0" w:color="000000"/>
            </w:tcBorders>
            <w:vAlign w:val="center"/>
          </w:tcPr>
          <w:p w14:paraId="70CEB0B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No</w:t>
            </w:r>
          </w:p>
        </w:tc>
      </w:tr>
      <w:tr w:rsidR="0023539C" w14:paraId="4E4AB640" w14:textId="77777777" w:rsidTr="001860EF">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14:paraId="5D6AB0EB"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Late Neolithic Europe*</w:t>
            </w:r>
          </w:p>
        </w:tc>
        <w:tc>
          <w:tcPr>
            <w:tcW w:w="2577" w:type="dxa"/>
            <w:tcBorders>
              <w:top w:val="single" w:sz="4" w:space="0" w:color="000000"/>
              <w:left w:val="single" w:sz="4" w:space="0" w:color="000000"/>
              <w:bottom w:val="single" w:sz="4" w:space="0" w:color="000000"/>
              <w:right w:val="single" w:sz="4" w:space="0" w:color="000000"/>
            </w:tcBorders>
            <w:vAlign w:val="center"/>
          </w:tcPr>
          <w:p w14:paraId="6112142A"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Megalithic ritual networks; Corded Ware standardisation; portable symbolic objects. Stage 3 PARTIALLY achieved. Stage 4 delayed but eventually present.</w:t>
            </w:r>
          </w:p>
        </w:tc>
        <w:tc>
          <w:tcPr>
            <w:tcW w:w="992" w:type="dxa"/>
            <w:tcBorders>
              <w:top w:val="single" w:sz="4" w:space="0" w:color="000000"/>
              <w:left w:val="single" w:sz="4" w:space="0" w:color="000000"/>
              <w:bottom w:val="single" w:sz="4" w:space="0" w:color="000000"/>
              <w:right w:val="single" w:sz="4" w:space="0" w:color="000000"/>
            </w:tcBorders>
            <w:vAlign w:val="center"/>
          </w:tcPr>
          <w:p w14:paraId="0D9C859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~1,500 yr delay</w:t>
            </w:r>
          </w:p>
        </w:tc>
        <w:tc>
          <w:tcPr>
            <w:tcW w:w="850" w:type="dxa"/>
            <w:tcBorders>
              <w:top w:val="single" w:sz="4" w:space="0" w:color="000000"/>
              <w:left w:val="single" w:sz="4" w:space="0" w:color="000000"/>
              <w:bottom w:val="single" w:sz="4" w:space="0" w:color="000000"/>
              <w:right w:val="single" w:sz="4" w:space="0" w:color="000000"/>
            </w:tcBorders>
            <w:vAlign w:val="center"/>
          </w:tcPr>
          <w:p w14:paraId="48BD049C"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1.6</w:t>
            </w:r>
          </w:p>
        </w:tc>
        <w:tc>
          <w:tcPr>
            <w:tcW w:w="583" w:type="dxa"/>
            <w:tcBorders>
              <w:top w:val="single" w:sz="4" w:space="0" w:color="000000"/>
              <w:left w:val="single" w:sz="4" w:space="0" w:color="000000"/>
              <w:bottom w:val="single" w:sz="4" w:space="0" w:color="000000"/>
              <w:right w:val="single" w:sz="4" w:space="0" w:color="000000"/>
            </w:tcBorders>
            <w:vAlign w:val="center"/>
          </w:tcPr>
          <w:p w14:paraId="1666B4F5"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1.4</w:t>
            </w:r>
          </w:p>
        </w:tc>
        <w:tc>
          <w:tcPr>
            <w:tcW w:w="601" w:type="dxa"/>
            <w:tcBorders>
              <w:top w:val="single" w:sz="4" w:space="0" w:color="000000"/>
              <w:left w:val="single" w:sz="4" w:space="0" w:color="000000"/>
              <w:bottom w:val="single" w:sz="4" w:space="0" w:color="000000"/>
              <w:right w:val="single" w:sz="4" w:space="0" w:color="000000"/>
            </w:tcBorders>
            <w:vAlign w:val="center"/>
          </w:tcPr>
          <w:p w14:paraId="7D38DE23"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1.4</w:t>
            </w:r>
          </w:p>
        </w:tc>
        <w:tc>
          <w:tcPr>
            <w:tcW w:w="729" w:type="dxa"/>
            <w:tcBorders>
              <w:top w:val="single" w:sz="4" w:space="0" w:color="000000"/>
              <w:left w:val="single" w:sz="4" w:space="0" w:color="000000"/>
              <w:bottom w:val="single" w:sz="4" w:space="0" w:color="000000"/>
              <w:right w:val="single" w:sz="4" w:space="0" w:color="000000"/>
            </w:tcBorders>
            <w:vAlign w:val="center"/>
          </w:tcPr>
          <w:p w14:paraId="09AEDB54"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7.5/12</w:t>
            </w:r>
          </w:p>
        </w:tc>
        <w:tc>
          <w:tcPr>
            <w:tcW w:w="925" w:type="dxa"/>
            <w:tcBorders>
              <w:top w:val="single" w:sz="4" w:space="0" w:color="000000"/>
              <w:left w:val="single" w:sz="4" w:space="0" w:color="000000"/>
              <w:bottom w:val="single" w:sz="4" w:space="0" w:color="000000"/>
              <w:right w:val="single" w:sz="4" w:space="0" w:color="000000"/>
            </w:tcBorders>
            <w:vAlign w:val="center"/>
          </w:tcPr>
          <w:p w14:paraId="1420EDAD" w14:textId="77777777" w:rsidR="0023539C" w:rsidRDefault="0023539C" w:rsidP="0029278E">
            <w:pPr>
              <w:ind w:hanging="86"/>
              <w:jc w:val="center"/>
              <w:rPr>
                <w:rFonts w:ascii="Times New Roman" w:hAnsi="Times New Roman" w:cs="Times New Roman"/>
                <w:sz w:val="20"/>
                <w:szCs w:val="20"/>
              </w:rPr>
            </w:pPr>
            <w:r>
              <w:rPr>
                <w:rFonts w:ascii="Times New Roman" w:hAnsi="Times New Roman" w:cs="Times New Roman"/>
                <w:sz w:val="20"/>
                <w:szCs w:val="20"/>
              </w:rPr>
              <w:t>Yes (delayed)</w:t>
            </w:r>
          </w:p>
        </w:tc>
      </w:tr>
    </w:tbl>
    <w:p w14:paraId="233E9C21" w14:textId="77777777" w:rsidR="0023539C" w:rsidRPr="0029278E" w:rsidRDefault="0023539C" w:rsidP="0029278E">
      <w:pPr>
        <w:ind w:firstLine="0"/>
        <w:rPr>
          <w:rFonts w:ascii="Times New Roman" w:hAnsi="Times New Roman" w:cs="Times New Roman"/>
          <w:sz w:val="24"/>
          <w:szCs w:val="24"/>
        </w:rPr>
      </w:pPr>
      <w:r>
        <w:rPr>
          <w:rFonts w:ascii="Times New Roman" w:hAnsi="Times New Roman" w:cs="Times New Roman"/>
          <w:sz w:val="24"/>
          <w:szCs w:val="24"/>
        </w:rPr>
        <w:t>* Negative cases analyzed in Section 5.2. E and S scores are averaged across the six FCP observables. Min(E,S) = minimum-rule combination. "Yes (delayed)" for Late Neolithic Europe indicates that state formation eventually occurred but required an additional ~1,500 years beyond the Stage 3 partial-completion point.</w:t>
      </w:r>
    </w:p>
    <w:p w14:paraId="33F86087"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Across all five positive-case regions, ritualized symbolic systems detectable through FCP observables emerge substantially before writing, urbanism, or monumental architecture. In Mesopotamia, the Ubaid period (c. 6500–3800 BCE) demonstrates spatial regularization, standardized ceramics, and communal feasting</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 FCP Stage 1 and 2 evidence well before proto-cuneiform emergence. Recent isotopic analysis</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confirms inter-regional standardization consistent with early Stage 3 dynamics. In the Indus Valley, Pre-Harappan craft standardization and planned settlement</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score FCP Stage 3 partially before Harappan florescence. For East Asia, Hongshan and Liangzhu jade standardization and exchange</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provide Stage 2-to-3 evidence preceding Shang formation by over a millennium.</w:t>
      </w:r>
    </w:p>
    <w:p w14:paraId="5A9BD9E8"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2D scoring produces genuinely informative inter-regional differences in Table 4. Egypt's E and S averages both reach 2.0; Mesoamerica's S average (1.5) is notably lower than its E average (1.7), reflecting the genuine interpretive difficulty of the Formative period symbolic record, where the functional-versus-symbolic boundary for calendrical and ceramic traditions is actively debated. These are not differences DSSM imposes; they are differences the 2D FCP reveals.</w:t>
      </w:r>
    </w:p>
    <w:p w14:paraId="143BC238" w14:textId="77777777" w:rsidR="001860EF" w:rsidRDefault="001860EF" w:rsidP="001860EF">
      <w:pPr>
        <w:keepNext/>
        <w:ind w:firstLine="0"/>
        <w:rPr>
          <w:rFonts w:ascii="Times New Roman" w:hAnsi="Times New Roman" w:cs="Times New Roman"/>
          <w:b/>
          <w:bCs/>
          <w:sz w:val="26"/>
          <w:szCs w:val="26"/>
        </w:rPr>
      </w:pPr>
    </w:p>
    <w:p w14:paraId="28038255" w14:textId="70B61475" w:rsidR="0023539C" w:rsidRDefault="0023539C" w:rsidP="001860EF">
      <w:pPr>
        <w:keepNext/>
        <w:ind w:firstLine="0"/>
        <w:rPr>
          <w:rFonts w:ascii="Times New Roman" w:hAnsi="Times New Roman" w:cs="Times New Roman"/>
          <w:b/>
          <w:bCs/>
          <w:sz w:val="26"/>
          <w:szCs w:val="26"/>
        </w:rPr>
      </w:pPr>
      <w:r>
        <w:rPr>
          <w:rFonts w:ascii="Times New Roman" w:hAnsi="Times New Roman" w:cs="Times New Roman"/>
          <w:b/>
          <w:bCs/>
          <w:sz w:val="26"/>
          <w:szCs w:val="26"/>
        </w:rPr>
        <w:t>5.2 Three Negative Cases: Three Distinct Failure Modes</w:t>
      </w:r>
    </w:p>
    <w:p w14:paraId="29ABC3AF"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DSSM's treatment of negative cases is its most theoretically powerful methodological advance. By specifying in advance (Prediction P6) that regions with high Stage 1–2 scores but absent or partial Stage 3 should show no or delayed institutional emergence, DSSM generates a falsifiable prediction about non-events. Three negative cases are analyzed here as tests of three distinct failure modes:</w:t>
      </w:r>
    </w:p>
    <w:p w14:paraId="5475DF2A" w14:textId="77777777" w:rsidR="001860EF" w:rsidRDefault="001860EF" w:rsidP="001860EF">
      <w:pPr>
        <w:keepNext/>
        <w:ind w:firstLine="0"/>
        <w:rPr>
          <w:rFonts w:ascii="Times New Roman" w:hAnsi="Times New Roman" w:cs="Times New Roman"/>
          <w:b/>
          <w:bCs/>
          <w:sz w:val="26"/>
          <w:szCs w:val="26"/>
        </w:rPr>
      </w:pPr>
    </w:p>
    <w:p w14:paraId="3D7ECB05" w14:textId="53969F9B" w:rsidR="0023539C" w:rsidRDefault="0023539C" w:rsidP="001860EF">
      <w:pPr>
        <w:keepNext/>
        <w:ind w:firstLine="0"/>
        <w:rPr>
          <w:rFonts w:ascii="Times New Roman" w:hAnsi="Times New Roman" w:cs="Times New Roman"/>
          <w:b/>
          <w:bCs/>
          <w:sz w:val="26"/>
          <w:szCs w:val="26"/>
        </w:rPr>
      </w:pPr>
      <w:r>
        <w:rPr>
          <w:rFonts w:ascii="Times New Roman" w:hAnsi="Times New Roman" w:cs="Times New Roman"/>
          <w:b/>
          <w:bCs/>
          <w:sz w:val="26"/>
          <w:szCs w:val="26"/>
        </w:rPr>
        <w:t>5.2.1 Sub-Saharan Africa: Stage 3 Absent Through Fragmentation</w:t>
      </w:r>
    </w:p>
    <w:p w14:paraId="443F4C5E"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Sub-Saharan Africa presents a pattern of extraordinary symbolic richness — rock art traditions, ochre use, ritual aggregation sites, beadwork traditions (d'Errico &amp; Henshilwood, 2021; Henshilwood et al., 2018) — combined with absent state formation in the relevant comparative period. FCP scoring produces E averages of approximately 1.8 (evidence for symbolic practice is well-documented) but S averages of approximately 0.7 (the critical Stage 3 observables — Externalized Cognition, Distributed Symbolic Authority through standardized portable media — show low symbolic specificity). The min-rule total of approximately 6/12 is entirely accounted for by Stage 1 and early Stage 2 consolidation. Stage 3 material amplification — the systematic externalization of symbolic content into standardized, widely distributed portable objects functioning as inter-community symbolic carriers — is absent or fragmented.</w:t>
      </w:r>
    </w:p>
    <w:p w14:paraId="4B618BE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DSSM interpretation is not that sub-Saharan African symbolic systems were less developed but that the specific material and social conditions enabling Stage 3 crossing were not achieved: the production of standardized portable objects at sufficient scale and distribution to coordinate communities across face-to-face interaction distances. Environmental determinism cannot explain this divergence from the Nile Valley, where comparable or less productive ecologies in some periods produced Stage 3 amplification. DSSM's scope condition explanation — Stage 3 requires specific connectivity and production conditions beyond symbolic capacity alone — is more parsimonious.</w:t>
      </w:r>
    </w:p>
    <w:p w14:paraId="3D791713" w14:textId="77777777" w:rsidR="007E13D9" w:rsidRDefault="007E13D9" w:rsidP="007E13D9">
      <w:pPr>
        <w:keepNext/>
        <w:ind w:firstLine="0"/>
        <w:rPr>
          <w:rFonts w:ascii="Times New Roman" w:hAnsi="Times New Roman" w:cs="Times New Roman"/>
          <w:b/>
          <w:bCs/>
          <w:sz w:val="26"/>
          <w:szCs w:val="26"/>
        </w:rPr>
      </w:pPr>
    </w:p>
    <w:p w14:paraId="78415AB5" w14:textId="14348258"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5.2.2 Prehistoric Australia: Stage 3 Absent — Transmission Fidelity Mechanism Confirmed</w:t>
      </w:r>
    </w:p>
    <w:p w14:paraId="7E41D5A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Prehistoric Australia is now the most theoretically powerful negative case in the DSSM framework, because it provides a mechanistic explanation for Stage 3 absence rather than merely documenting it. Australian Aboriginal cultures demonstrate extraordinary symbolic richness across all Stage 1 and Stage 2 FCP observables: the Dreaming cosmology, multi-community ceremonial structures, and sophisticated mortuary practices document FCP Stage 1–2 scores at or near maximum</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Yet Stage 3 is absent.</w:t>
      </w:r>
    </w:p>
    <w:p w14:paraId="3EAD4F57"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transmission fidelity model (Section 2.7) provides the mechanistic account. Aboriginal Australian communities maintained effective band sizes of 25–50 individuals, with ceremonial aggregations reaching 200–400 temporarily</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These sizes remained consistently below the P7 Stage 3 threshold of ~500 individuals. At these community sizes, face-to-face embodied and ritualized transmission is fully sufficient to maintain symbolic fidelity across the group: no externalization crisis arises. The consequence, as P7 predicts, is a symbolic system of extraordinary richness and stability that operates entirely through co-presence mechanisms — ceremony, oral tradition, body marking, sand drawing — without generating the endogenous pressure to develop standardized portable symbolic media.</w:t>
      </w:r>
    </w:p>
    <w:p w14:paraId="19C98BF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Critically, this is not an incapacity but an equilibrium. Wiessner and Schiefenhovel's (1998) cross-cultural analysis of exchange networks confirms that Australian inter-group exchange does involve material objects, but these objects serve primarily as relationship markers in face-to-face exchange events rather than as autonomous carriers of symbolic meaning recognizable outside the face-to-face context. This is precisely the Stage 2 / Stage 3 boundary: objects embedded in relational exchange versus objects functioning as inter-community symbolic media in the absence of co-presence. The DSSM distinction between Stage 2 portable objects (relationship-embedded) and Stage 3 portable anchors (autonomous symbolic carriers) is confirmed by the Australian case with unusual ethnographic clarity.</w:t>
      </w:r>
    </w:p>
    <w:p w14:paraId="640AF731"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Furthermore, the deliberate maintenance of small band sizes in Australian social organization is not ecologically forced but socially structured</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The Australian case thereby demonstrates that Stage 3 absence can be an actively maintained equilibrium rather than a failed attempt — which both confirms P7 and rules out the ecological insufficiency interpretation that environmental determinism would propose. Sub-Saharan Africa presents a different failure mode at somewhat larger community sizes, consistent with partial but insufficient Stage 3 externalization pressure: some portable symbolic objects develop (beadwork traditions, ochre exchange) but without achieving the standardization and distributional reach that full Stage 3 requires.</w:t>
      </w:r>
    </w:p>
    <w:p w14:paraId="1956ACAE" w14:textId="77777777" w:rsidR="007E13D9" w:rsidRDefault="007E13D9" w:rsidP="007E13D9">
      <w:pPr>
        <w:keepNext/>
        <w:ind w:firstLine="0"/>
        <w:rPr>
          <w:rFonts w:ascii="Times New Roman" w:hAnsi="Times New Roman" w:cs="Times New Roman"/>
          <w:b/>
          <w:bCs/>
          <w:sz w:val="26"/>
          <w:szCs w:val="26"/>
        </w:rPr>
      </w:pPr>
    </w:p>
    <w:p w14:paraId="13B9EDB1" w14:textId="69771B14"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5.2.3 Late Neolithic Europe: Stage 3 Partial, Delayed Emergence</w:t>
      </w:r>
    </w:p>
    <w:p w14:paraId="5EE05F7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Late Neolithic Europe (c. 3500–2500 BCE) provides the third and analytically distinct negative case: a region where Stage 3 was partially achieved but not completed, producing delayed rather than absent institutional emergence. Megalithic ritual networks</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demonstrate high Stage 2 scores; Corded Ware standardized ceramic traditions and portable symbolic objects provide partial Stage 3 evidence (FCP Stage 3 S average approximately 1.4). However, the S dimension falls short of the Stage 3 threshold (&lt; 1.5 average required for full Stage 3 completion) because the standardized portable objects of the Corded Ware complex do not demonstrate the inter-community symbolic carrier function — the ability to coordinate symbolic meaning across non-face-to-face communities — that full Stage 3 requires.</w:t>
      </w:r>
    </w:p>
    <w:p w14:paraId="60BA381B"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outcome is precisely what DSSM predicts for partial Stage 3 completion: institutional emergence is delayed but not permanently absent. Bronze Age and eventually Iron Age state-level societies do emerge in Europe, approximately 1,500 years after the Late Neolithic partial Stage 3 completion point. The delay corresponds to the time required for Stage 3 to be completed through the accumulation of metallurgical symbolic media, long-distance exchange of prestige goods with canonical symbolic forms, and the development of proto-writing systems in the eastern Mediterranean sphere. DSSM thus not only predicts the binary outcome (state/no-state) but the quantitative delay associated with partial Stage 3 completion — a prediction not generated by the alternative frameworks reviewed in Section 5.4. Figure 4 displays the FCP observable scores for all three negative cases against the Egyptian reference maximum.</w:t>
      </w:r>
    </w:p>
    <w:p w14:paraId="63075DA4" w14:textId="77777777" w:rsidR="0023539C" w:rsidRDefault="0023539C" w:rsidP="008A2B4C">
      <w:pPr>
        <w:rPr>
          <w:rFonts w:ascii="Times New Roman" w:hAnsi="Times New Roman" w:cs="Times New Roman"/>
          <w:sz w:val="24"/>
          <w:szCs w:val="24"/>
        </w:rPr>
      </w:pPr>
    </w:p>
    <w:p w14:paraId="2CA043C2" w14:textId="77777777" w:rsidR="0023539C" w:rsidRDefault="00D535CB" w:rsidP="008A2B4C">
      <w:pPr>
        <w:keepNext/>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6571F2FF" wp14:editId="39EB5F1D">
            <wp:extent cx="5105400" cy="20066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0" cy="2006600"/>
                    </a:xfrm>
                    <a:prstGeom prst="rect">
                      <a:avLst/>
                    </a:prstGeom>
                    <a:solidFill>
                      <a:srgbClr val="FFFFFF"/>
                    </a:solidFill>
                    <a:ln>
                      <a:noFill/>
                    </a:ln>
                  </pic:spPr>
                </pic:pic>
              </a:graphicData>
            </a:graphic>
          </wp:inline>
        </w:drawing>
      </w:r>
    </w:p>
    <w:p w14:paraId="1B542187" w14:textId="77777777" w:rsidR="0023539C" w:rsidRPr="007E13D9" w:rsidRDefault="0023539C" w:rsidP="007E13D9">
      <w:pPr>
        <w:keepNext/>
        <w:ind w:firstLine="0"/>
        <w:jc w:val="center"/>
        <w:rPr>
          <w:rFonts w:ascii="Times New Roman" w:hAnsi="Times New Roman" w:cs="Times New Roman"/>
          <w:sz w:val="24"/>
          <w:szCs w:val="24"/>
        </w:rPr>
      </w:pPr>
      <w:r>
        <w:rPr>
          <w:rFonts w:ascii="Times New Roman" w:hAnsi="Times New Roman" w:cs="Times New Roman"/>
          <w:sz w:val="24"/>
          <w:szCs w:val="24"/>
        </w:rPr>
        <w:t>Figure 4. Three Negative Cases: FCP observable scores for Sub-Saharan Africa (Stage 3 absent through fragmentation), prehistoric Australia (Stage 3 structurally absent), and Late Neolithic Europe (Stage 3 partial, delayed emergence). Egypt maximum shown as reference (pale blue bars). Red dashed line = Stage 3 threshold.</w:t>
      </w:r>
    </w:p>
    <w:p w14:paraId="1A0227D2" w14:textId="77777777" w:rsidR="007E13D9" w:rsidRDefault="007E13D9" w:rsidP="007E13D9">
      <w:pPr>
        <w:keepNext/>
        <w:ind w:firstLine="0"/>
        <w:rPr>
          <w:rFonts w:ascii="Times New Roman" w:hAnsi="Times New Roman" w:cs="Times New Roman"/>
          <w:b/>
          <w:bCs/>
          <w:sz w:val="26"/>
          <w:szCs w:val="26"/>
        </w:rPr>
      </w:pPr>
    </w:p>
    <w:p w14:paraId="0596E66D" w14:textId="151D2431"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5.3 Two Additional Potential Counterexamples: Highland New Guinea and Norte Chico</w:t>
      </w:r>
    </w:p>
    <w:p w14:paraId="0912A7C9"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Two cases represent obvious potential counterexamples to DSSM’s Stage 3 threshold model and require explicit engagement. Highland New Guinea presents a community size challenge to P7: some Highland exchange systems, notably the Moka and Tee ceremonial exchange networks, mobilize resources and participants across communities substantially exceeding 500 individuals, yet no state formation occurred in the relevant period</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Norte Chico</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presents a material media challenge: monumental architecture of considerable scale preceded or co-occurred with standardized portable symbolic media, complicating the prediction that portable anchors must precede monuments</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w:t>
      </w:r>
    </w:p>
    <w:p w14:paraId="26EAAE28" w14:textId="77777777" w:rsidR="007E13D9" w:rsidRDefault="007E13D9" w:rsidP="007E13D9">
      <w:pPr>
        <w:keepNext/>
        <w:ind w:firstLine="0"/>
        <w:rPr>
          <w:rFonts w:ascii="Times New Roman" w:hAnsi="Times New Roman" w:cs="Times New Roman"/>
          <w:b/>
          <w:bCs/>
          <w:sz w:val="26"/>
          <w:szCs w:val="26"/>
        </w:rPr>
      </w:pPr>
    </w:p>
    <w:p w14:paraId="2BBB88BC" w14:textId="5FBE69B8"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5.3.1 Highland New Guinea: Large-Scale Exchange Without State Formation</w:t>
      </w:r>
    </w:p>
    <w:p w14:paraId="54796F69"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Highland New Guinea’s Moka and Tee exchange systems involve ceremonial wealth redistribution across large inter-community networks, and demographic evidence suggests that participating communities and their affiliated networks substantially exceeded 500 individuals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This appears to challenge P7: if Stage 3 crossing is predicted when communities exceed </w:t>
      </w:r>
      <w:r>
        <w:rPr>
          <w:rFonts w:ascii="Cambria Math" w:hAnsi="Cambria Math" w:cs="Cambria Math"/>
          <w:sz w:val="24"/>
          <w:szCs w:val="24"/>
        </w:rPr>
        <w:t>∼</w:t>
      </w:r>
      <w:r>
        <w:rPr>
          <w:rFonts w:ascii="Times New Roman" w:hAnsi="Times New Roman" w:cs="Times New Roman"/>
          <w:sz w:val="24"/>
          <w:szCs w:val="24"/>
        </w:rPr>
        <w:t>500 individuals, why did Highland New Guinea develop extensive exchange networks without producing state formation?</w:t>
      </w:r>
    </w:p>
    <w:p w14:paraId="51B3E43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DSSM’s response to this challenge is a scope condition distinction, not a special pleading. P7 predicts Stage 3 crossing — the development of standardized portable symbolic objects functioning as autonomous inter-community symbolic carriers — when effective co-residential community sizes exceed </w:t>
      </w:r>
      <w:r>
        <w:rPr>
          <w:rFonts w:ascii="Cambria Math" w:hAnsi="Cambria Math" w:cs="Cambria Math"/>
          <w:sz w:val="24"/>
          <w:szCs w:val="24"/>
        </w:rPr>
        <w:t>∼</w:t>
      </w:r>
      <w:r>
        <w:rPr>
          <w:rFonts w:ascii="Times New Roman" w:hAnsi="Times New Roman" w:cs="Times New Roman"/>
          <w:sz w:val="24"/>
          <w:szCs w:val="24"/>
        </w:rPr>
        <w:t xml:space="preserve">500 individuals. The Highland New Guinea case requires distinguishing two separate thresholds: (a) the threshold for exchange network size, and (b) the threshold for stable co-residential community size. Moka and Tee exchange networks aggregate participants from many small co-residential hamlets, typically 20–100 individuals each</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The relevant unit for P7 is the co-residential community, not the maximal exchange network. At the co-residential scale, Highland New Guinea communities remained well below the </w:t>
      </w:r>
      <w:r>
        <w:rPr>
          <w:rFonts w:ascii="Cambria Math" w:hAnsi="Cambria Math" w:cs="Cambria Math"/>
          <w:sz w:val="24"/>
          <w:szCs w:val="24"/>
        </w:rPr>
        <w:t>∼</w:t>
      </w:r>
      <w:r>
        <w:rPr>
          <w:rFonts w:ascii="Times New Roman" w:hAnsi="Times New Roman" w:cs="Times New Roman"/>
          <w:sz w:val="24"/>
          <w:szCs w:val="24"/>
        </w:rPr>
        <w:t>500-individual P7 threshold, and face-to-face transmission remained sufficient within each hamlet. The exchange networks themselves functioned as periodic aggregation mechanisms — equivalent to Australian ceremonial aggregations — enabling symbolic resynchronization rather than generating the chronic transmission fidelity deficit that Stage 3 externalization pressure requires. Importantly, the Moka objects (pigs, pearl shells, axes) do function as portable relationship-markers, consistent with FCP Stage 2 Portable Symbolic Anchors; what is absent is the autonomous symbolic carrier function (recognizable meaning without co-presence) that FCP Stage 3 requires. This is the same Stage 2 / Stage 3 boundary confirmed in the Australian case. Highland New Guinea is therefore a Stage 2-complete, Stage 3-absent case, not a counterexample to P7 but a confirmation of it: the exchange networks operate at aggregate scales exceeding 500, but the co-residential transmission units that determine externalization pressure do not.</w:t>
      </w:r>
    </w:p>
    <w:p w14:paraId="5EA550BA" w14:textId="77777777" w:rsidR="007E13D9" w:rsidRDefault="007E13D9" w:rsidP="007E13D9">
      <w:pPr>
        <w:keepNext/>
        <w:ind w:firstLine="0"/>
        <w:rPr>
          <w:rFonts w:ascii="Times New Roman" w:hAnsi="Times New Roman" w:cs="Times New Roman"/>
          <w:b/>
          <w:bCs/>
          <w:sz w:val="26"/>
          <w:szCs w:val="26"/>
        </w:rPr>
      </w:pPr>
    </w:p>
    <w:p w14:paraId="7D45E57E" w14:textId="1428071B"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5.3.2 Norte Chico: Monuments Without Standardized Portable Media?</w:t>
      </w:r>
    </w:p>
    <w:p w14:paraId="7D820DBA" w14:textId="0B9A978E"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Norte Chico (Caral-Supe) civilization of coastal Peru (c. 3000–1800 BCE) presents a different kind of challenge: monumental platform mounds and plaza complexes of considerable scale appear in the archaeological record alongside a relative absence of the ceramic iconographic traditions and portable symbolic objects that DSSM’s P5 predicts should precede monumentality</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If portable symbolic anchors must precede monuments by at least two stratigraphic phases (P5), how does Norte Chico fit?</w:t>
      </w:r>
    </w:p>
    <w:p w14:paraId="01559BA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DSSM’s response to this challenge requires engaging the Norte Chico evidence carefully rather than dismissing the case. Three considerations apply. First, Norte Chico does possess portable symbolic media; quipus (knotted cording devices) have been recovered from Caral contexts, and textile traditions with standardized motifs predate or co-occur with the monumental platforms</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The absence of ceramic iconographic traditions is real, but ceramics are not the only FCP-relevant portable medium: textiles, quipus, and gourd containers with incised designs all qualify as potential Externalized Cognition and Portable Symbolic Anchor observables. Norte Chico’s FCP scoring on non-ceramic portable media has not been systematically conducted, and the apparent absence may reflect a research emphasis on ceramics rather than a genuine absence of Stage 3-qualifying portable objects. Second, Norte Chico’s monumental architecture itself — the sunken circular plazas and platform mounds — has a spatial grammar consistent with prior aggregation-site patterning: the plaza form recurs across multiple Norte Chico sites in a way that suggests a prior shared spatial symbolic convention rather than novel invention. If the plaza form is a material amplification of a pre-existing aggregation convention, it is not a monument without prior portable media but a monument whose precursor portable tradition was textile- and fiber-based rather than ceramic. Third, and most importantly for the integrity of DSSM, Norte Chico is a genuine edge case that requires the generation of region-specific FCP scores rather than assumption from Egypt-derived scoring templates. A full FCP application to Norte Chico, attending to non-ceramic portable media, is identified as a priority comparative case for the research agenda in Section 7.3. If systematic FCP scoring confirms the presence of Stage 3-qualifying portable objects preceding or co-occurring with the earliest monumental phases, Norte Chico confirms P5. If it confirms genuine Stage 3 absence alongside monumental presence, Norte Chico is a falsification of P5 and a boundary condition that DSSM must address. The current evidence is insufficient to determine which outcome applies.</w:t>
      </w:r>
    </w:p>
    <w:p w14:paraId="129257CA" w14:textId="77777777" w:rsidR="007E13D9" w:rsidRDefault="007E13D9" w:rsidP="007E13D9">
      <w:pPr>
        <w:keepNext/>
        <w:ind w:firstLine="0"/>
        <w:rPr>
          <w:rFonts w:ascii="Times New Roman" w:hAnsi="Times New Roman" w:cs="Times New Roman"/>
          <w:b/>
          <w:bCs/>
          <w:sz w:val="26"/>
          <w:szCs w:val="26"/>
        </w:rPr>
      </w:pPr>
    </w:p>
    <w:p w14:paraId="4C3FF0C3" w14:textId="0716D913" w:rsidR="0023539C" w:rsidRDefault="0023539C" w:rsidP="007E13D9">
      <w:pPr>
        <w:keepNext/>
        <w:ind w:firstLine="0"/>
        <w:rPr>
          <w:rFonts w:ascii="Times New Roman" w:hAnsi="Times New Roman" w:cs="Times New Roman"/>
          <w:b/>
          <w:bCs/>
          <w:sz w:val="26"/>
          <w:szCs w:val="26"/>
        </w:rPr>
      </w:pPr>
      <w:r>
        <w:rPr>
          <w:rFonts w:ascii="Times New Roman" w:hAnsi="Times New Roman" w:cs="Times New Roman"/>
          <w:b/>
          <w:bCs/>
          <w:sz w:val="26"/>
          <w:szCs w:val="26"/>
        </w:rPr>
        <w:t>5.4 Alternative Explanations and Explanatory Superiority</w:t>
      </w:r>
    </w:p>
    <w:p w14:paraId="4C04460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Environmental determinism cannot account for the divergent outcomes between Egypt (state) and sub-Saharan Africa (no state in comparable period), nor for the survival of Egyptian symbolic institutions through the First Intermediate Period climatic disruption</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The neural durability of ritualized practice — Stage 1 and 2 consolidation — provides the mechanism for symbolic persistence that ecological models cannot. Economic surplus models</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misidentify the causal order: symbolic standardization in Egypt precedes trade intensification</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Conflict-driven models</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are compatible with DSSM but incomplete: military unification recruits pre-existing symbolic legitimation structures rather than generating them. The equifinality problem — that similar FCP scores might reflect different processes — is addressed by the multi-observable convergence requirement and specifically by the 2D scoring system, which requires both E and S evidence to converge before a high score is awarded.</w:t>
      </w:r>
    </w:p>
    <w:p w14:paraId="65D1AD07" w14:textId="77777777" w:rsidR="007E13D9" w:rsidRDefault="007E13D9" w:rsidP="007E13D9">
      <w:pPr>
        <w:keepNext/>
        <w:ind w:firstLine="0"/>
        <w:rPr>
          <w:rFonts w:ascii="Times New Roman" w:hAnsi="Times New Roman" w:cs="Times New Roman"/>
          <w:b/>
          <w:bCs/>
          <w:sz w:val="26"/>
          <w:szCs w:val="26"/>
        </w:rPr>
      </w:pPr>
    </w:p>
    <w:p w14:paraId="5B004487" w14:textId="133EA878" w:rsidR="0023539C" w:rsidRDefault="0023539C" w:rsidP="007E13D9">
      <w:pPr>
        <w:keepNext/>
        <w:ind w:firstLine="0"/>
        <w:rPr>
          <w:rFonts w:ascii="Times New Roman" w:hAnsi="Times New Roman" w:cs="Times New Roman"/>
          <w:sz w:val="26"/>
          <w:szCs w:val="26"/>
        </w:rPr>
      </w:pPr>
      <w:r>
        <w:rPr>
          <w:rFonts w:ascii="Times New Roman" w:hAnsi="Times New Roman" w:cs="Times New Roman"/>
          <w:b/>
          <w:bCs/>
          <w:sz w:val="26"/>
          <w:szCs w:val="26"/>
        </w:rPr>
        <w:t>6. Falsifiable Predictions and Evaluation</w:t>
      </w:r>
    </w:p>
    <w:p w14:paraId="3451C6C9" w14:textId="77777777" w:rsidR="0023539C" w:rsidRDefault="0023539C" w:rsidP="008A2B4C">
      <w:pPr>
        <w:rPr>
          <w:rFonts w:ascii="Times New Roman" w:hAnsi="Times New Roman" w:cs="Times New Roman"/>
          <w:i/>
          <w:iCs/>
          <w:sz w:val="24"/>
          <w:szCs w:val="24"/>
        </w:rPr>
      </w:pPr>
      <w:r>
        <w:rPr>
          <w:rFonts w:ascii="Times New Roman" w:hAnsi="Times New Roman" w:cs="Times New Roman"/>
          <w:sz w:val="24"/>
          <w:szCs w:val="24"/>
        </w:rPr>
        <w:t>Table 5 presents all seven DSSM falsifiable predictions with their testable claims, empirical tests, and rejection criteria. Section 6.1 evaluates each against available evidence.</w:t>
      </w:r>
    </w:p>
    <w:p w14:paraId="5186667A" w14:textId="77777777" w:rsidR="002E5770" w:rsidRDefault="002E5770" w:rsidP="007E13D9">
      <w:pPr>
        <w:ind w:firstLine="0"/>
        <w:jc w:val="center"/>
        <w:rPr>
          <w:rFonts w:ascii="Times New Roman" w:hAnsi="Times New Roman" w:cs="Times New Roman"/>
          <w:b/>
          <w:bCs/>
          <w:sz w:val="24"/>
          <w:szCs w:val="24"/>
        </w:rPr>
      </w:pPr>
    </w:p>
    <w:p w14:paraId="4043DB65" w14:textId="70ED0FDC" w:rsidR="0023539C" w:rsidRDefault="0023539C" w:rsidP="007E13D9">
      <w:pPr>
        <w:ind w:firstLine="0"/>
        <w:jc w:val="center"/>
        <w:rPr>
          <w:rFonts w:ascii="Times New Roman" w:hAnsi="Times New Roman" w:cs="Times New Roman"/>
          <w:b/>
          <w:bCs/>
          <w:sz w:val="24"/>
          <w:szCs w:val="24"/>
        </w:rPr>
      </w:pPr>
      <w:r>
        <w:rPr>
          <w:rFonts w:ascii="Times New Roman" w:hAnsi="Times New Roman" w:cs="Times New Roman"/>
          <w:b/>
          <w:bCs/>
          <w:sz w:val="24"/>
          <w:szCs w:val="24"/>
        </w:rPr>
        <w:t>Table 5. DSSM Seven Falsifiable Predictions: Testable Claims, Empirical Tests, and Rejection Criteria</w:t>
      </w:r>
    </w:p>
    <w:tbl>
      <w:tblPr>
        <w:tblW w:w="0" w:type="auto"/>
        <w:jc w:val="center"/>
        <w:tblLayout w:type="fixed"/>
        <w:tblCellMar>
          <w:top w:w="60" w:type="dxa"/>
          <w:left w:w="80" w:type="dxa"/>
          <w:bottom w:w="60" w:type="dxa"/>
          <w:right w:w="80" w:type="dxa"/>
        </w:tblCellMar>
        <w:tblLook w:val="0000" w:firstRow="0" w:lastRow="0" w:firstColumn="0" w:lastColumn="0" w:noHBand="0" w:noVBand="0"/>
      </w:tblPr>
      <w:tblGrid>
        <w:gridCol w:w="1217"/>
        <w:gridCol w:w="3000"/>
        <w:gridCol w:w="2013"/>
        <w:gridCol w:w="2273"/>
      </w:tblGrid>
      <w:tr w:rsidR="0023539C" w14:paraId="3A2C41FE" w14:textId="77777777">
        <w:trPr>
          <w:tblHeader/>
          <w:jc w:val="center"/>
        </w:trPr>
        <w:tc>
          <w:tcPr>
            <w:tcW w:w="12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48B62" w14:textId="77777777" w:rsidR="0023539C" w:rsidRPr="002E5770" w:rsidRDefault="0023539C" w:rsidP="002E5770">
            <w:pPr>
              <w:ind w:firstLine="0"/>
              <w:jc w:val="center"/>
              <w:rPr>
                <w:rFonts w:ascii="Times New Roman" w:hAnsi="Times New Roman" w:cs="Times New Roman"/>
              </w:rPr>
            </w:pPr>
            <w:r>
              <w:rPr>
                <w:rFonts w:ascii="Times New Roman" w:hAnsi="Times New Roman" w:cs="Times New Roman"/>
                <w:b/>
                <w:bCs/>
              </w:rPr>
              <w:t>Prediction</w:t>
            </w:r>
          </w:p>
        </w:tc>
        <w:tc>
          <w:tcPr>
            <w:tcW w:w="30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A3F257" w14:textId="77777777" w:rsidR="0023539C" w:rsidRPr="002E5770" w:rsidRDefault="0023539C" w:rsidP="002E5770">
            <w:pPr>
              <w:ind w:firstLine="0"/>
              <w:jc w:val="center"/>
              <w:rPr>
                <w:rFonts w:ascii="Times New Roman" w:hAnsi="Times New Roman" w:cs="Times New Roman"/>
              </w:rPr>
            </w:pPr>
            <w:r>
              <w:rPr>
                <w:rFonts w:ascii="Times New Roman" w:hAnsi="Times New Roman" w:cs="Times New Roman"/>
                <w:b/>
                <w:bCs/>
              </w:rPr>
              <w:t>Testable Claim</w:t>
            </w:r>
          </w:p>
        </w:tc>
        <w:tc>
          <w:tcPr>
            <w:tcW w:w="2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4AEE0" w14:textId="77777777" w:rsidR="0023539C" w:rsidRPr="002E5770" w:rsidRDefault="0023539C" w:rsidP="002E5770">
            <w:pPr>
              <w:ind w:firstLine="0"/>
              <w:jc w:val="center"/>
              <w:rPr>
                <w:rFonts w:ascii="Times New Roman" w:hAnsi="Times New Roman" w:cs="Times New Roman"/>
              </w:rPr>
            </w:pPr>
            <w:r>
              <w:rPr>
                <w:rFonts w:ascii="Times New Roman" w:hAnsi="Times New Roman" w:cs="Times New Roman"/>
                <w:b/>
                <w:bCs/>
              </w:rPr>
              <w:t>Empirical Test</w:t>
            </w:r>
          </w:p>
        </w:tc>
        <w:tc>
          <w:tcPr>
            <w:tcW w:w="2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594D9" w14:textId="77777777" w:rsidR="0023539C" w:rsidRPr="002E5770" w:rsidRDefault="0023539C" w:rsidP="002E5770">
            <w:pPr>
              <w:ind w:firstLine="0"/>
              <w:jc w:val="center"/>
              <w:rPr>
                <w:rFonts w:ascii="Times New Roman" w:hAnsi="Times New Roman" w:cs="Times New Roman"/>
              </w:rPr>
            </w:pPr>
            <w:r>
              <w:rPr>
                <w:rFonts w:ascii="Times New Roman" w:hAnsi="Times New Roman" w:cs="Times New Roman"/>
                <w:b/>
                <w:bCs/>
              </w:rPr>
              <w:t>Falsification Criterion</w:t>
            </w:r>
          </w:p>
        </w:tc>
      </w:tr>
      <w:tr w:rsidR="0023539C" w14:paraId="158F9D36"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4EEC7C19"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P1: Temporal Precedence</w:t>
            </w:r>
          </w:p>
        </w:tc>
        <w:tc>
          <w:tcPr>
            <w:tcW w:w="3000" w:type="dxa"/>
            <w:tcBorders>
              <w:top w:val="single" w:sz="4" w:space="0" w:color="000000"/>
              <w:left w:val="single" w:sz="4" w:space="0" w:color="000000"/>
              <w:bottom w:val="single" w:sz="4" w:space="0" w:color="000000"/>
              <w:right w:val="single" w:sz="4" w:space="0" w:color="000000"/>
            </w:tcBorders>
            <w:vAlign w:val="center"/>
          </w:tcPr>
          <w:p w14:paraId="6161A837"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Sites developing monumental construction must show FCP Min(E,S) ≥ 1 in at least two stratigraphic phases before earliest monument</w:t>
            </w:r>
          </w:p>
        </w:tc>
        <w:tc>
          <w:tcPr>
            <w:tcW w:w="2013" w:type="dxa"/>
            <w:tcBorders>
              <w:top w:val="single" w:sz="4" w:space="0" w:color="000000"/>
              <w:left w:val="single" w:sz="4" w:space="0" w:color="000000"/>
              <w:bottom w:val="single" w:sz="4" w:space="0" w:color="000000"/>
              <w:right w:val="single" w:sz="4" w:space="0" w:color="000000"/>
            </w:tcBorders>
            <w:vAlign w:val="center"/>
          </w:tcPr>
          <w:p w14:paraId="7A7F3DB6"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Stratigraphic FCP scoring; Bayesian chronological modelling of precedence gaps</w:t>
            </w:r>
          </w:p>
        </w:tc>
        <w:tc>
          <w:tcPr>
            <w:tcW w:w="2273" w:type="dxa"/>
            <w:tcBorders>
              <w:top w:val="single" w:sz="4" w:space="0" w:color="000000"/>
              <w:left w:val="single" w:sz="4" w:space="0" w:color="000000"/>
              <w:bottom w:val="single" w:sz="4" w:space="0" w:color="000000"/>
              <w:right w:val="single" w:sz="4" w:space="0" w:color="000000"/>
            </w:tcBorders>
            <w:vAlign w:val="center"/>
          </w:tcPr>
          <w:p w14:paraId="7E6F795B"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Monument construction at any well-excavated site with FCP Min(E,S) = 0 in all prior phases</w:t>
            </w:r>
          </w:p>
        </w:tc>
      </w:tr>
      <w:tr w:rsidR="0023539C" w14:paraId="78A53639"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418ECB8D"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P2: Writing as Codification</w:t>
            </w:r>
          </w:p>
        </w:tc>
        <w:tc>
          <w:tcPr>
            <w:tcW w:w="3000" w:type="dxa"/>
            <w:tcBorders>
              <w:top w:val="single" w:sz="4" w:space="0" w:color="000000"/>
              <w:left w:val="single" w:sz="4" w:space="0" w:color="000000"/>
              <w:bottom w:val="single" w:sz="4" w:space="0" w:color="000000"/>
              <w:right w:val="single" w:sz="4" w:space="0" w:color="000000"/>
            </w:tcBorders>
            <w:vAlign w:val="center"/>
          </w:tcPr>
          <w:p w14:paraId="1E23BD23"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 50% of graphemic elements in earliest writing system must be traceable in non-written material culture at prior stratigraphic levels</w:t>
            </w:r>
          </w:p>
        </w:tc>
        <w:tc>
          <w:tcPr>
            <w:tcW w:w="2013" w:type="dxa"/>
            <w:tcBorders>
              <w:top w:val="single" w:sz="4" w:space="0" w:color="000000"/>
              <w:left w:val="single" w:sz="4" w:space="0" w:color="000000"/>
              <w:bottom w:val="single" w:sz="4" w:space="0" w:color="000000"/>
              <w:right w:val="single" w:sz="4" w:space="0" w:color="000000"/>
            </w:tcBorders>
            <w:vAlign w:val="center"/>
          </w:tcPr>
          <w:p w14:paraId="5C1BA42E"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Iconographic corpus analysis (hieroglyphics vs. Naqada ceramics; Stauder 2018 method)</w:t>
            </w:r>
          </w:p>
        </w:tc>
        <w:tc>
          <w:tcPr>
            <w:tcW w:w="2273" w:type="dxa"/>
            <w:tcBorders>
              <w:top w:val="single" w:sz="4" w:space="0" w:color="000000"/>
              <w:left w:val="single" w:sz="4" w:space="0" w:color="000000"/>
              <w:bottom w:val="single" w:sz="4" w:space="0" w:color="000000"/>
              <w:right w:val="single" w:sz="4" w:space="0" w:color="000000"/>
            </w:tcBorders>
            <w:vAlign w:val="center"/>
          </w:tcPr>
          <w:p w14:paraId="2B7668F5"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Writing introducing &gt; 50% wholly novel symbolic categories absent from all prior non-written media</w:t>
            </w:r>
          </w:p>
        </w:tc>
      </w:tr>
      <w:tr w:rsidR="0023539C" w14:paraId="7C378016"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751E23E3"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P3: CV Precedes Elaboration</w:t>
            </w:r>
          </w:p>
        </w:tc>
        <w:tc>
          <w:tcPr>
            <w:tcW w:w="3000" w:type="dxa"/>
            <w:tcBorders>
              <w:top w:val="single" w:sz="4" w:space="0" w:color="000000"/>
              <w:left w:val="single" w:sz="4" w:space="0" w:color="000000"/>
              <w:bottom w:val="single" w:sz="4" w:space="0" w:color="000000"/>
              <w:right w:val="single" w:sz="4" w:space="0" w:color="000000"/>
            </w:tcBorders>
            <w:vAlign w:val="center"/>
          </w:tcPr>
          <w:p w14:paraId="2053ACFC"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Artifact CV must fall below 0.25 during the period preceding technological elaboration; must not be rising at elaboration onset</w:t>
            </w:r>
          </w:p>
        </w:tc>
        <w:tc>
          <w:tcPr>
            <w:tcW w:w="2013" w:type="dxa"/>
            <w:tcBorders>
              <w:top w:val="single" w:sz="4" w:space="0" w:color="000000"/>
              <w:left w:val="single" w:sz="4" w:space="0" w:color="000000"/>
              <w:bottom w:val="single" w:sz="4" w:space="0" w:color="000000"/>
              <w:right w:val="single" w:sz="4" w:space="0" w:color="000000"/>
            </w:tcBorders>
            <w:vAlign w:val="center"/>
          </w:tcPr>
          <w:p w14:paraId="451FFA37"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Morphometric analysis per stratum; CV linear regression; comparison with elaboration onset date</w:t>
            </w:r>
          </w:p>
        </w:tc>
        <w:tc>
          <w:tcPr>
            <w:tcW w:w="2273" w:type="dxa"/>
            <w:tcBorders>
              <w:top w:val="single" w:sz="4" w:space="0" w:color="000000"/>
              <w:left w:val="single" w:sz="4" w:space="0" w:color="000000"/>
              <w:bottom w:val="single" w:sz="4" w:space="0" w:color="000000"/>
              <w:right w:val="single" w:sz="4" w:space="0" w:color="000000"/>
            </w:tcBorders>
            <w:vAlign w:val="center"/>
          </w:tcPr>
          <w:p w14:paraId="76CEF26F"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Technological elaboration co-occurring with rising or stable CV &gt; 0.25 in any well-sampled assemblage sequence</w:t>
            </w:r>
          </w:p>
        </w:tc>
      </w:tr>
      <w:tr w:rsidR="0023539C" w14:paraId="78A260FA"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7839BE41"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P4: Cross-Regional Sequence</w:t>
            </w:r>
          </w:p>
        </w:tc>
        <w:tc>
          <w:tcPr>
            <w:tcW w:w="3000" w:type="dxa"/>
            <w:tcBorders>
              <w:top w:val="single" w:sz="4" w:space="0" w:color="000000"/>
              <w:left w:val="single" w:sz="4" w:space="0" w:color="000000"/>
              <w:bottom w:val="single" w:sz="4" w:space="0" w:color="000000"/>
              <w:right w:val="single" w:sz="4" w:space="0" w:color="000000"/>
            </w:tcBorders>
            <w:vAlign w:val="center"/>
          </w:tcPr>
          <w:p w14:paraId="5A44C3F7"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DSSM sequence (Stages 1→4) must be recoverable across all five positive-case regions; no positive-case region shows institutional emergence without prior FCP Min(E,S) ≥ 1 for Stages 1–2</w:t>
            </w:r>
          </w:p>
        </w:tc>
        <w:tc>
          <w:tcPr>
            <w:tcW w:w="2013" w:type="dxa"/>
            <w:tcBorders>
              <w:top w:val="single" w:sz="4" w:space="0" w:color="000000"/>
              <w:left w:val="single" w:sz="4" w:space="0" w:color="000000"/>
              <w:bottom w:val="single" w:sz="4" w:space="0" w:color="000000"/>
              <w:right w:val="single" w:sz="4" w:space="0" w:color="000000"/>
            </w:tcBorders>
            <w:vAlign w:val="center"/>
          </w:tcPr>
          <w:p w14:paraId="1B1EBA6B"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Cross-regional FCP scoring; comparative stratigraphic timeline analysis using standardised protocol</w:t>
            </w:r>
          </w:p>
        </w:tc>
        <w:tc>
          <w:tcPr>
            <w:tcW w:w="2273" w:type="dxa"/>
            <w:tcBorders>
              <w:top w:val="single" w:sz="4" w:space="0" w:color="000000"/>
              <w:left w:val="single" w:sz="4" w:space="0" w:color="000000"/>
              <w:bottom w:val="single" w:sz="4" w:space="0" w:color="000000"/>
              <w:right w:val="single" w:sz="4" w:space="0" w:color="000000"/>
            </w:tcBorders>
            <w:vAlign w:val="center"/>
          </w:tcPr>
          <w:p w14:paraId="04E24CA1"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Any well-documented positive-case region with institutional emergence and FCP Min(E,S) = 0 for Stage 1</w:t>
            </w:r>
          </w:p>
        </w:tc>
      </w:tr>
      <w:tr w:rsidR="0023539C" w14:paraId="16F4BB63"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086F4245"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P5: Portable Anchors Precede Monuments</w:t>
            </w:r>
          </w:p>
        </w:tc>
        <w:tc>
          <w:tcPr>
            <w:tcW w:w="3000" w:type="dxa"/>
            <w:tcBorders>
              <w:top w:val="single" w:sz="4" w:space="0" w:color="000000"/>
              <w:left w:val="single" w:sz="4" w:space="0" w:color="000000"/>
              <w:bottom w:val="single" w:sz="4" w:space="0" w:color="000000"/>
              <w:right w:val="single" w:sz="4" w:space="0" w:color="000000"/>
            </w:tcBorders>
            <w:vAlign w:val="center"/>
          </w:tcPr>
          <w:p w14:paraId="2F4E16AD"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Standardised portable symbolic objects must predate permanent monumental architecture by ≥ 2 stratigraphic phases in every positive-case region</w:t>
            </w:r>
          </w:p>
        </w:tc>
        <w:tc>
          <w:tcPr>
            <w:tcW w:w="2013" w:type="dxa"/>
            <w:tcBorders>
              <w:top w:val="single" w:sz="4" w:space="0" w:color="000000"/>
              <w:left w:val="single" w:sz="4" w:space="0" w:color="000000"/>
              <w:bottom w:val="single" w:sz="4" w:space="0" w:color="000000"/>
              <w:right w:val="single" w:sz="4" w:space="0" w:color="000000"/>
            </w:tcBorders>
            <w:vAlign w:val="center"/>
          </w:tcPr>
          <w:p w14:paraId="61C8BADF"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Portable object typology dating vs. earliest monumental construction dates per region</w:t>
            </w:r>
          </w:p>
        </w:tc>
        <w:tc>
          <w:tcPr>
            <w:tcW w:w="2273" w:type="dxa"/>
            <w:tcBorders>
              <w:top w:val="single" w:sz="4" w:space="0" w:color="000000"/>
              <w:left w:val="single" w:sz="4" w:space="0" w:color="000000"/>
              <w:bottom w:val="single" w:sz="4" w:space="0" w:color="000000"/>
              <w:right w:val="single" w:sz="4" w:space="0" w:color="000000"/>
            </w:tcBorders>
            <w:vAlign w:val="center"/>
          </w:tcPr>
          <w:p w14:paraId="6CB5D68C"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Monumental construction in any positive-case region with zero prior portable symbolic tradition</w:t>
            </w:r>
          </w:p>
        </w:tc>
      </w:tr>
      <w:tr w:rsidR="0023539C" w14:paraId="731522EA"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45C5887A"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P6: Negative Cases as Scope Tests</w:t>
            </w:r>
          </w:p>
        </w:tc>
        <w:tc>
          <w:tcPr>
            <w:tcW w:w="3000" w:type="dxa"/>
            <w:tcBorders>
              <w:top w:val="single" w:sz="4" w:space="0" w:color="000000"/>
              <w:left w:val="single" w:sz="4" w:space="0" w:color="000000"/>
              <w:bottom w:val="single" w:sz="4" w:space="0" w:color="000000"/>
              <w:right w:val="single" w:sz="4" w:space="0" w:color="000000"/>
            </w:tcBorders>
            <w:vAlign w:val="center"/>
          </w:tcPr>
          <w:p w14:paraId="46117D0C"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Regions with FCP Min(E,S) ≥ 1 for Stages 1–2 but Min(E,S) &lt; 1 for Stage 3 (S axis) should show no institutional emergence regardless of ecological/demographic conditions</w:t>
            </w:r>
          </w:p>
        </w:tc>
        <w:tc>
          <w:tcPr>
            <w:tcW w:w="2013" w:type="dxa"/>
            <w:tcBorders>
              <w:top w:val="single" w:sz="4" w:space="0" w:color="000000"/>
              <w:left w:val="single" w:sz="4" w:space="0" w:color="000000"/>
              <w:bottom w:val="single" w:sz="4" w:space="0" w:color="000000"/>
              <w:right w:val="single" w:sz="4" w:space="0" w:color="000000"/>
            </w:tcBorders>
            <w:vAlign w:val="center"/>
          </w:tcPr>
          <w:p w14:paraId="27F70F33"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FCP scoring of Sub-Saharan Africa, Australia, and Late Neolithic Europe; regression of Stage 3 S-axis score against state-formation outcome</w:t>
            </w:r>
          </w:p>
        </w:tc>
        <w:tc>
          <w:tcPr>
            <w:tcW w:w="2273" w:type="dxa"/>
            <w:tcBorders>
              <w:top w:val="single" w:sz="4" w:space="0" w:color="000000"/>
              <w:left w:val="single" w:sz="4" w:space="0" w:color="000000"/>
              <w:bottom w:val="single" w:sz="4" w:space="0" w:color="000000"/>
              <w:right w:val="single" w:sz="4" w:space="0" w:color="000000"/>
            </w:tcBorders>
            <w:vAlign w:val="center"/>
          </w:tcPr>
          <w:p w14:paraId="4C0EE933"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High Stage 1–2 Min(E,S) scores combined with state formation in the complete absence of Stage 3 S-axis evidence in any well-documented case</w:t>
            </w:r>
          </w:p>
        </w:tc>
      </w:tr>
      <w:tr w:rsidR="0023539C" w14:paraId="23652997" w14:textId="77777777">
        <w:trPr>
          <w:jc w:val="center"/>
        </w:trPr>
        <w:tc>
          <w:tcPr>
            <w:tcW w:w="1217" w:type="dxa"/>
            <w:tcBorders>
              <w:top w:val="single" w:sz="4" w:space="0" w:color="000000"/>
              <w:left w:val="single" w:sz="4" w:space="0" w:color="000000"/>
              <w:bottom w:val="single" w:sz="4" w:space="0" w:color="000000"/>
              <w:right w:val="single" w:sz="4" w:space="0" w:color="000000"/>
            </w:tcBorders>
            <w:vAlign w:val="center"/>
          </w:tcPr>
          <w:p w14:paraId="0CE95F9A"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P7: Community Size Threshold for Stage 3 Crossing</w:t>
            </w:r>
          </w:p>
        </w:tc>
        <w:tc>
          <w:tcPr>
            <w:tcW w:w="3000" w:type="dxa"/>
            <w:tcBorders>
              <w:top w:val="single" w:sz="4" w:space="0" w:color="000000"/>
              <w:left w:val="single" w:sz="4" w:space="0" w:color="000000"/>
              <w:bottom w:val="single" w:sz="4" w:space="0" w:color="000000"/>
              <w:right w:val="single" w:sz="4" w:space="0" w:color="000000"/>
            </w:tcBorders>
            <w:vAlign w:val="center"/>
          </w:tcPr>
          <w:p w14:paraId="70053C55"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 xml:space="preserve">Stage 3 crossing is expected in communities whose effective co-residential size consistently exceeds </w:t>
            </w:r>
            <w:r>
              <w:rPr>
                <w:rFonts w:ascii="Cambria Math" w:hAnsi="Cambria Math" w:cs="Cambria Math"/>
                <w:sz w:val="20"/>
                <w:szCs w:val="20"/>
              </w:rPr>
              <w:t>∼</w:t>
            </w:r>
            <w:r>
              <w:rPr>
                <w:rFonts w:ascii="Times New Roman" w:hAnsi="Times New Roman" w:cs="Times New Roman"/>
                <w:sz w:val="20"/>
                <w:szCs w:val="20"/>
              </w:rPr>
              <w:t>500 individuals across multiple generations; Stage 3 should be absent or incomplete in communities maintaining consistent effective sizes below this threshold, regardless of Stage 1 and Stage 2 richness</w:t>
            </w:r>
          </w:p>
        </w:tc>
        <w:tc>
          <w:tcPr>
            <w:tcW w:w="2013" w:type="dxa"/>
            <w:tcBorders>
              <w:top w:val="single" w:sz="4" w:space="0" w:color="000000"/>
              <w:left w:val="single" w:sz="4" w:space="0" w:color="000000"/>
              <w:bottom w:val="single" w:sz="4" w:space="0" w:color="000000"/>
              <w:right w:val="single" w:sz="4" w:space="0" w:color="000000"/>
            </w:tcBorders>
            <w:vAlign w:val="center"/>
          </w:tcPr>
          <w:p w14:paraId="13E87B39"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FCP scoring of Table 7 comparison societies; settlement area analysis per society; regression of co-residential community size against Stage 3 outcome; agent-based modeling of symbolic drift at varying community sizes</w:t>
            </w:r>
          </w:p>
        </w:tc>
        <w:tc>
          <w:tcPr>
            <w:tcW w:w="2273" w:type="dxa"/>
            <w:tcBorders>
              <w:top w:val="single" w:sz="4" w:space="0" w:color="000000"/>
              <w:left w:val="single" w:sz="4" w:space="0" w:color="000000"/>
              <w:bottom w:val="single" w:sz="4" w:space="0" w:color="000000"/>
              <w:right w:val="single" w:sz="4" w:space="0" w:color="000000"/>
            </w:tcBorders>
            <w:vAlign w:val="center"/>
          </w:tcPr>
          <w:p w14:paraId="58CBF43A" w14:textId="77777777" w:rsidR="0023539C" w:rsidRPr="002E5770" w:rsidRDefault="0023539C" w:rsidP="002E5770">
            <w:pPr>
              <w:ind w:firstLine="0"/>
              <w:rPr>
                <w:rFonts w:ascii="Times New Roman" w:hAnsi="Times New Roman" w:cs="Times New Roman"/>
                <w:sz w:val="20"/>
                <w:szCs w:val="20"/>
              </w:rPr>
            </w:pPr>
            <w:r>
              <w:rPr>
                <w:rFonts w:ascii="Times New Roman" w:hAnsi="Times New Roman" w:cs="Times New Roman"/>
                <w:sz w:val="20"/>
                <w:szCs w:val="20"/>
              </w:rPr>
              <w:t>Any well-documented society with confirmed co-residential community sizes consistently below 500 individuals showing full Stage 3 completion; or any society consistently above 500 individuals with high Stage 1–2 FCP scores showing persistent Stage 3 absence over multiple centuries</w:t>
            </w:r>
          </w:p>
        </w:tc>
      </w:tr>
    </w:tbl>
    <w:p w14:paraId="2083CB3A" w14:textId="77777777" w:rsidR="002E5770" w:rsidRDefault="002E5770" w:rsidP="002E5770">
      <w:pPr>
        <w:keepNext/>
        <w:ind w:firstLine="0"/>
        <w:rPr>
          <w:rFonts w:ascii="Times New Roman" w:hAnsi="Times New Roman" w:cs="Times New Roman"/>
          <w:b/>
          <w:bCs/>
          <w:sz w:val="26"/>
          <w:szCs w:val="26"/>
        </w:rPr>
      </w:pPr>
    </w:p>
    <w:p w14:paraId="7AF95B7F" w14:textId="5EA9508B" w:rsidR="0023539C" w:rsidRDefault="0023539C" w:rsidP="002E5770">
      <w:pPr>
        <w:keepNext/>
        <w:ind w:firstLine="0"/>
        <w:rPr>
          <w:rFonts w:ascii="Times New Roman" w:hAnsi="Times New Roman" w:cs="Times New Roman"/>
          <w:b/>
          <w:bCs/>
          <w:sz w:val="26"/>
          <w:szCs w:val="26"/>
        </w:rPr>
      </w:pPr>
      <w:r>
        <w:rPr>
          <w:rFonts w:ascii="Times New Roman" w:hAnsi="Times New Roman" w:cs="Times New Roman"/>
          <w:b/>
          <w:bCs/>
          <w:sz w:val="26"/>
          <w:szCs w:val="26"/>
        </w:rPr>
        <w:t>6.1 Evaluation Against Current Evidence</w:t>
      </w:r>
    </w:p>
    <w:p w14:paraId="4B380894"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P1 (temporal precedence) is strongly supported across all five positive-case regions: FCP-positive phases consistently precede monumental construction by multiple stratigraphic phases. For Egypt, the gap is approximately 1,800 years between initial FCP Stage 1 detection (Badarian) and the Old Kingdom peak. No positive-case region shows monuments without prior FCP evidence.</w:t>
      </w:r>
    </w:p>
    <w:p w14:paraId="3FADEFC1"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P2 (writing as codification)</w:t>
      </w:r>
      <w:r>
        <w:t xml:space="preserve"> is supported at the stated 50% threshold: Stauder (2018) and Regulski (2010)</w:t>
      </w:r>
      <w:r>
        <w:rPr>
          <w:rStyle w:val="FootnoteReference"/>
          <w:rFonts w:ascii="Times New Roman" w:hAnsi="Times New Roman" w:cs="Times New Roman"/>
          <w:sz w:val="24"/>
          <w:szCs w:val="24"/>
        </w:rPr>
        <w:footnoteReference w:id="75"/>
      </w:r>
      <w:r>
        <w:t xml:space="preserve"> document 68% of early hieroglyphic graphemic elements traceable to prior material culture, substantially exceeding the falsification threshold.</w:t>
      </w:r>
    </w:p>
    <w:p w14:paraId="0ED39EB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P3 (CV precedes elaboration) is supported by published assemblage data showing declining CV from approximately 0.42 (Badarian) to approximately 0.09 (Old Kingdom), crossing the Stage 3 threshold before maximum iconographic elaboration. Full systematic morphometric re-analysis is the priority empirical agenda of Section 7.3.</w:t>
      </w:r>
    </w:p>
    <w:p w14:paraId="677CF05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P4 (cross-regional sequence convergence) is supported across all five positive-case regions: no positive-case region shows institutional emergence without prior FCP Stage 1–2 evidence. The 2D scoring confirms this more robustly than prior single-axis assessments, because the min-rule prevents high E scores from masking low S scores.</w:t>
      </w:r>
    </w:p>
    <w:p w14:paraId="3F1DA209"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P5 (portable anchors precede monuments) is supported in all five positive-case regions and constitutes one of the most consistently documented patterns in comparative archaeology</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w:t>
      </w:r>
    </w:p>
    <w:p w14:paraId="6EDDF7F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P6 (negative cases as scope tests) is supported by all three negative cases analyzed in Section 5.2, with each case confirming a distinct failure mode. Sub-Saharan Africa and Australia confirm that high Stage 1–2 scores combined with absent Stage 3 S-axis evidence produces absent institutional emergence; Late Neolithic Europe confirms that partial Stage 3 produces delayed rather than absent emergence.</w:t>
      </w:r>
    </w:p>
    <w:p w14:paraId="547F215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P7 (Stage 3 community size threshold) receives preliminary support from the community size data in Table 7 (Section 7.4): all eight comparison societies fall on the predicted side of the ~500-individual threshold relative to their Stage 3 outcome. The Corded Ware case (community sizes ~300–800, partial Stage 3) is the most informative test: a community at the margin of the P7 threshold shows precisely the partial Stage 3 completion and delayed rather than absent institutional emergence that P7 predicts. P7 is the model's most recently derived prediction and requires further testing across a broader range of archaeologically documented community size estimates.</w:t>
      </w:r>
    </w:p>
    <w:p w14:paraId="2C2DDEB1" w14:textId="77777777" w:rsidR="0023539C" w:rsidRDefault="0023539C" w:rsidP="008A2B4C">
      <w:pPr>
        <w:rPr>
          <w:rFonts w:ascii="Times New Roman" w:hAnsi="Times New Roman" w:cs="Times New Roman"/>
          <w:sz w:val="24"/>
          <w:szCs w:val="24"/>
        </w:rPr>
      </w:pPr>
    </w:p>
    <w:p w14:paraId="76C503F7" w14:textId="77777777" w:rsidR="0023539C" w:rsidRDefault="00D535CB" w:rsidP="002E5770">
      <w:pPr>
        <w:keepNext/>
        <w:ind w:firstLine="0"/>
        <w:jc w:val="center"/>
        <w:rPr>
          <w:rFonts w:ascii="Times New Roman" w:hAnsi="Times New Roman" w:cs="Times New Roman"/>
          <w:i/>
          <w:iCs/>
          <w:sz w:val="24"/>
          <w:szCs w:val="24"/>
        </w:rPr>
      </w:pPr>
      <w:r>
        <w:rPr>
          <w:rFonts w:ascii="Times New Roman" w:hAnsi="Times New Roman" w:cs="Times New Roman"/>
          <w:noProof/>
          <w:sz w:val="24"/>
          <w:szCs w:val="24"/>
        </w:rPr>
        <w:drawing>
          <wp:inline distT="0" distB="0" distL="0" distR="0" wp14:anchorId="65ED8353" wp14:editId="607D1715">
            <wp:extent cx="4978400" cy="33401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t="7791"/>
                    <a:stretch>
                      <a:fillRect/>
                    </a:stretch>
                  </pic:blipFill>
                  <pic:spPr bwMode="auto">
                    <a:xfrm>
                      <a:off x="0" y="0"/>
                      <a:ext cx="4978400" cy="3340100"/>
                    </a:xfrm>
                    <a:prstGeom prst="rect">
                      <a:avLst/>
                    </a:prstGeom>
                    <a:solidFill>
                      <a:srgbClr val="FFFFFF"/>
                    </a:solidFill>
                    <a:ln>
                      <a:noFill/>
                    </a:ln>
                  </pic:spPr>
                </pic:pic>
              </a:graphicData>
            </a:graphic>
          </wp:inline>
        </w:drawing>
      </w:r>
    </w:p>
    <w:p w14:paraId="7F36087F" w14:textId="77777777" w:rsidR="0023539C" w:rsidRPr="002E5770" w:rsidRDefault="0023539C" w:rsidP="002E5770">
      <w:pPr>
        <w:keepNext/>
        <w:ind w:firstLine="0"/>
        <w:jc w:val="center"/>
        <w:rPr>
          <w:rFonts w:ascii="Times New Roman" w:hAnsi="Times New Roman" w:cs="Times New Roman"/>
          <w:sz w:val="24"/>
          <w:szCs w:val="24"/>
        </w:rPr>
      </w:pPr>
      <w:r>
        <w:rPr>
          <w:rFonts w:ascii="Times New Roman" w:hAnsi="Times New Roman" w:cs="Times New Roman"/>
          <w:sz w:val="24"/>
          <w:szCs w:val="24"/>
        </w:rPr>
        <w:t>Figure 5. Prediction P3 and P7 Validation. Panel A: Artifact CV decline across three independent assemblage classes. Panel B: Stage 3 threshold conditions across eight comparison societies (P7). Panel C: Methodology and validation status.</w:t>
      </w:r>
    </w:p>
    <w:p w14:paraId="7B113D88" w14:textId="77777777" w:rsidR="002E5770" w:rsidRDefault="002E5770" w:rsidP="002E5770">
      <w:pPr>
        <w:keepNext/>
        <w:ind w:firstLine="0"/>
        <w:rPr>
          <w:rFonts w:ascii="Times New Roman" w:hAnsi="Times New Roman" w:cs="Times New Roman"/>
          <w:b/>
          <w:bCs/>
          <w:sz w:val="26"/>
          <w:szCs w:val="26"/>
        </w:rPr>
      </w:pPr>
    </w:p>
    <w:p w14:paraId="56F0F462" w14:textId="02150298" w:rsidR="0023539C" w:rsidRDefault="0023539C" w:rsidP="002E5770">
      <w:pPr>
        <w:keepNext/>
        <w:ind w:firstLine="0"/>
        <w:rPr>
          <w:rFonts w:ascii="Times New Roman" w:hAnsi="Times New Roman" w:cs="Times New Roman"/>
          <w:b/>
          <w:bCs/>
          <w:sz w:val="26"/>
          <w:szCs w:val="26"/>
        </w:rPr>
      </w:pPr>
      <w:r>
        <w:rPr>
          <w:rFonts w:ascii="Times New Roman" w:hAnsi="Times New Roman" w:cs="Times New Roman"/>
          <w:b/>
          <w:bCs/>
          <w:sz w:val="26"/>
          <w:szCs w:val="26"/>
        </w:rPr>
        <w:t>7. Methods, Limitations, and Future Research</w:t>
      </w:r>
    </w:p>
    <w:p w14:paraId="74DC445E" w14:textId="77777777" w:rsidR="0023539C" w:rsidRDefault="0023539C" w:rsidP="002E5770">
      <w:pPr>
        <w:keepNext/>
        <w:ind w:firstLine="0"/>
        <w:rPr>
          <w:rFonts w:ascii="Times New Roman" w:hAnsi="Times New Roman" w:cs="Times New Roman"/>
          <w:sz w:val="24"/>
          <w:szCs w:val="24"/>
        </w:rPr>
      </w:pPr>
      <w:r>
        <w:rPr>
          <w:rFonts w:ascii="Times New Roman" w:hAnsi="Times New Roman" w:cs="Times New Roman"/>
          <w:b/>
          <w:bCs/>
          <w:sz w:val="26"/>
          <w:szCs w:val="26"/>
        </w:rPr>
        <w:t>7.1 Methods</w:t>
      </w:r>
    </w:p>
    <w:p w14:paraId="4137B226"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This paper is a theoretical synthesis grounded in a systematic literature review (1970–2026), with primary emphasis on scholarship from 2015 onward. Literature was selected for direct relevance to DSSM mechanisms, methodological rigor, and scholarly influence within respective fields. Egyptological sources represent both interpretive synthesis</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and primary analysis </w:t>
      </w:r>
    </w:p>
    <w:p w14:paraId="49813CCF" w14:textId="77777777" w:rsidR="002E5770" w:rsidRDefault="002E5770" w:rsidP="002E5770">
      <w:pPr>
        <w:keepNext/>
        <w:ind w:firstLine="0"/>
        <w:rPr>
          <w:rFonts w:ascii="Times New Roman" w:hAnsi="Times New Roman" w:cs="Times New Roman"/>
          <w:b/>
          <w:bCs/>
          <w:sz w:val="26"/>
          <w:szCs w:val="26"/>
        </w:rPr>
      </w:pPr>
    </w:p>
    <w:p w14:paraId="10BA3A25" w14:textId="5F729314" w:rsidR="0023539C" w:rsidRDefault="0023539C" w:rsidP="002E5770">
      <w:pPr>
        <w:keepNext/>
        <w:ind w:firstLine="0"/>
        <w:rPr>
          <w:rFonts w:ascii="Times New Roman" w:hAnsi="Times New Roman" w:cs="Times New Roman"/>
          <w:b/>
          <w:bCs/>
          <w:i/>
          <w:iCs/>
          <w:sz w:val="26"/>
          <w:szCs w:val="26"/>
        </w:rPr>
      </w:pPr>
      <w:r>
        <w:rPr>
          <w:rFonts w:ascii="Times New Roman" w:hAnsi="Times New Roman" w:cs="Times New Roman"/>
          <w:b/>
          <w:bCs/>
          <w:sz w:val="26"/>
          <w:szCs w:val="26"/>
        </w:rPr>
        <w:t>7.2 Limitations</w:t>
      </w:r>
    </w:p>
    <w:p w14:paraId="535544D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Five limitations require explicit acknowledgment. First, the neural timescale bridge involves generationally-scaled modeling that, while derived from established laboratory timescales and cultural transmission theory, cannot be directly validated in archaeological contexts; the detection window ranges are estimates rather than measurements. Second, the negative case FCP scoring — particularly for prehistoric Australia — relies partially on ethnographic and oral-historical sources introducing a methodological asymmetry with the purely archaeological positive cases. </w:t>
      </w:r>
      <w:r>
        <w:rPr>
          <w:rFonts w:ascii="Times New Roman" w:hAnsi="Times New Roman" w:cs="Times New Roman"/>
          <w:i/>
          <w:iCs/>
          <w:sz w:val="24"/>
          <w:szCs w:val="24"/>
        </w:rPr>
        <w:t>Third</w:t>
      </w:r>
      <w:r>
        <w:rPr>
          <w:rFonts w:ascii="Times New Roman" w:hAnsi="Times New Roman" w:cs="Times New Roman"/>
          <w:sz w:val="24"/>
          <w:szCs w:val="24"/>
        </w:rPr>
        <w:t xml:space="preserve">, the Egyptian CV data reported in Section 4 and Figure 5 are estimated from published assemblage reports rather than from primary morphometric re-analysis. Readers should note that the specific numerical values throughout the body text — CV figures, E and S scores, and per-period totals — are presented with a precision that may exceed what the underlying data currently support. They function as first-order theoretical predictions about what systematic scoring should recover, not as validated empirical measurements. The body text’s quantitative specificity and the limitations section’s acknowledgment of their preliminary status are not in tension: the precise formulation of the predictions is what makes them falsifiable; the preliminary status of the data is what makes testing them necessary. </w:t>
      </w:r>
      <w:r>
        <w:rPr>
          <w:rFonts w:ascii="Times New Roman" w:hAnsi="Times New Roman" w:cs="Times New Roman"/>
          <w:i/>
          <w:iCs/>
          <w:sz w:val="24"/>
          <w:szCs w:val="24"/>
        </w:rPr>
        <w:t>Fourth</w:t>
      </w:r>
      <w:r>
        <w:rPr>
          <w:rFonts w:ascii="Times New Roman" w:hAnsi="Times New Roman" w:cs="Times New Roman"/>
          <w:sz w:val="24"/>
          <w:szCs w:val="24"/>
        </w:rPr>
        <w:t xml:space="preserve">, while DSSM now specifies Stage 3 threshold conditions through the Transmission Fidelity Model (Section 2.7, Prediction P7), the community size estimates in Table 7 are derived from published demographic models rather than from primary settlement area analysis. More rigorous quantification of effective community sizes across all comparison societies remains a priority empirical agenda. </w:t>
      </w:r>
      <w:r>
        <w:rPr>
          <w:rFonts w:ascii="Times New Roman" w:hAnsi="Times New Roman" w:cs="Times New Roman"/>
          <w:i/>
          <w:iCs/>
          <w:sz w:val="24"/>
          <w:szCs w:val="24"/>
        </w:rPr>
        <w:t>Fifth</w:t>
      </w:r>
      <w:r>
        <w:rPr>
          <w:rFonts w:ascii="Times New Roman" w:hAnsi="Times New Roman" w:cs="Times New Roman"/>
          <w:sz w:val="24"/>
          <w:szCs w:val="24"/>
        </w:rPr>
        <w:t>, the inter-rater reliability pilot (Section 3.4) provides only a minimum reliability floor from a single independent rater across a subset of periods; multi-rater validation across diverse regional case studies and archaeological specialisms is required before the FCP can be deployed as a standardized comparative instrument.</w:t>
      </w:r>
    </w:p>
    <w:p w14:paraId="093F4DDE"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7.2b Passed Stress Tests: Collapse Without Symbolic Reset</w:t>
      </w:r>
    </w:p>
    <w:p w14:paraId="5C9AFBF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A structural prediction of DSSM that deserves acknowledgment as a passed test is the collapse resilience criterion: if symbolic systems are stabilized at Stage 3 or above through deep pre-state redundancy, they should persist through administrative collapse without requiring institutional reconstruction. Egypt provides three independent tests of this prediction.</w:t>
      </w:r>
    </w:p>
    <w:p w14:paraId="40C1F78B"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First Intermediate Period (c. 2181–2055 BCE) saw the complete dissolution of Old Kingdom central administration following the Sixth Dynasty collapse. Under surplus and administrative accounts of Egyptian civilization, this should have produced significant symbolic fragmentation as the institutional machinery maintaining symbolic coherence dissolved. It did not. Core symbolic structures — axial mortuary orientation, divine kingship cosmology, animal-form deity representation — reassert themselves immediately in Middle Kingdom contexts with minimal structural drift. The symbolic grammar required no reconstruction because it had never been institutionally dependent. The Second Intermediate Period (c. 1650–1550 BCE), including Hyksos occupation and political fragmentation, produces the same result: administrative discontinuity with symbolic continuity</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w:t>
      </w:r>
    </w:p>
    <w:p w14:paraId="6C42792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Ptolemaic period constitutes the sharpest test. Macedonian rulers with no indigenous cultural formation adopt and operate within symbolic structures stabilized millennia earlier: temple construction continues in canonical Egyptian form, divine kingship rituals are performed in transliterated Egyptian, and mortuary grammar remains structurally identical to Old Kingdom precursors. Cleopatra VII, the last Ptolemaic ruler, governed through a symbolic architecture whose deep structure predates her dynasty by over two thousand years. This is not symbolic borrowing or political instrumentalization — it is evidence that the symbolic system had achieved the structural autonomy that DSSM Stage 3 and Stage 4 predict: it no longer required its original creators, their language, or their political institutions to function. Surplus, administrative, and writing-origin accounts do not, as formulated, generate this prediction.</w:t>
      </w:r>
    </w:p>
    <w:p w14:paraId="4D2E5EA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These three passed stress tests — First Intermediate Period, Second Intermediate Period, and Ptolemaic adoption — are not post-hoc observations. They follow directly from the DSSM prediction that structurally stabilized symbolic systems exhibit inertia independent of the political and administrative regimes that subsequently utilize them. The fact that Egypt provides three independent, chronologically separated instances of this prediction being confirmed — each involving different forms of institutional disruption — substantially increases the evidential weight of the Egypt case study beyond what the FCP quantitative scores alone provide.</w:t>
      </w:r>
    </w:p>
    <w:p w14:paraId="06F10668"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7.3 Future Research Agenda</w:t>
      </w:r>
    </w:p>
    <w:p w14:paraId="678F74EF"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Seven empirical priorities define the DSSM research agenda.</w:t>
      </w:r>
    </w:p>
    <w:p w14:paraId="0585D4A9"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Systematic 2D FCP scoring across the full Naqada sequence using standardized morphometric protocols, generating the per-stratum E and S scores required to rigorously test P3 and to replace the preliminary estimates in Table 3a with validated primary measurements. </w:t>
      </w:r>
    </w:p>
    <w:p w14:paraId="7A3C1715"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Multi-rater inter-rater reliability validation across at least three independent raters with diverse regional specialisms, building on the pilot study in Section 3.4 toward a fully validated standardized instrument. </w:t>
      </w:r>
    </w:p>
    <w:p w14:paraId="6E4E699A"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Development of FCP protocols adapted for the ethnographic-archaeological interface, enabling consistent scoring of the Australian and sub-Saharan African negative cases. </w:t>
      </w:r>
    </w:p>
    <w:p w14:paraId="51362537"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Full FCP application to Norte Chico (Caral-Supe), with particular attention to non-ceramic portable media (textiles, quipus, incised gourds), to resolve whether Norte Chico represents a genuine exception to P5 or a case where the portable tradition was non-ceramic and thus systematically under-scored in prior comparative analyses. </w:t>
      </w:r>
    </w:p>
    <w:p w14:paraId="253E9AF4"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Neuroarchaeological modeling connecting FCP detection thresholds to specific generationally-scaled predictions using agent-based simulation of cultural transmission dynamics (following Mesoudi, 2017; Richerson et al., 2016), with specific application to formalizing the P7 </w:t>
      </w:r>
      <w:r>
        <w:rPr>
          <w:rFonts w:ascii="Cambria Math" w:hAnsi="Cambria Math" w:cs="Cambria Math"/>
          <w:sz w:val="24"/>
          <w:szCs w:val="24"/>
        </w:rPr>
        <w:t>∼</w:t>
      </w:r>
      <w:r>
        <w:rPr>
          <w:rFonts w:ascii="Times New Roman" w:hAnsi="Times New Roman" w:cs="Times New Roman"/>
          <w:sz w:val="24"/>
          <w:szCs w:val="24"/>
        </w:rPr>
        <w:t xml:space="preserve">500-individual threshold through agent-based drift modeling at varying community size parameters. </w:t>
      </w:r>
    </w:p>
    <w:p w14:paraId="6DCB52A9" w14:textId="77777777" w:rsidR="0023539C" w:rsidRDefault="0023539C" w:rsidP="008A2B4C">
      <w:pPr>
        <w:pStyle w:val="ListParagraph"/>
        <w:numPr>
          <w:ilvl w:val="0"/>
          <w:numId w:val="5"/>
        </w:numPr>
        <w:suppressAutoHyphens/>
        <w:ind w:left="284" w:firstLine="284"/>
        <w:contextualSpacing w:val="0"/>
        <w:rPr>
          <w:rFonts w:ascii="Times New Roman" w:hAnsi="Times New Roman" w:cs="Times New Roman"/>
          <w:sz w:val="24"/>
          <w:szCs w:val="24"/>
        </w:rPr>
      </w:pPr>
      <w:r>
        <w:rPr>
          <w:rFonts w:ascii="Times New Roman" w:hAnsi="Times New Roman" w:cs="Times New Roman"/>
          <w:sz w:val="24"/>
          <w:szCs w:val="24"/>
        </w:rPr>
        <w:t xml:space="preserve">Collaborative cross-regional application of the 2D FCP using standardized protocols across all comparison cases, including Highland New Guinea to formally score the Stage 2 / Stage 3 boundary in exchange-network contexts. </w:t>
      </w:r>
    </w:p>
    <w:p w14:paraId="2C2F1D4C" w14:textId="77777777" w:rsidR="0023539C" w:rsidRDefault="0023539C" w:rsidP="008A2B4C">
      <w:pPr>
        <w:pStyle w:val="ListParagraph"/>
        <w:numPr>
          <w:ilvl w:val="0"/>
          <w:numId w:val="5"/>
        </w:numPr>
        <w:tabs>
          <w:tab w:val="clear" w:pos="0"/>
        </w:tabs>
        <w:suppressAutoHyphens/>
        <w:ind w:left="142" w:firstLine="284"/>
        <w:contextualSpacing w:val="0"/>
        <w:rPr>
          <w:rFonts w:ascii="Times New Roman" w:hAnsi="Times New Roman" w:cs="Times New Roman"/>
          <w:sz w:val="24"/>
          <w:szCs w:val="24"/>
        </w:rPr>
      </w:pPr>
      <w:r>
        <w:rPr>
          <w:rFonts w:ascii="Times New Roman" w:hAnsi="Times New Roman" w:cs="Times New Roman"/>
          <w:sz w:val="24"/>
          <w:szCs w:val="24"/>
        </w:rPr>
        <w:t>Systematic comparison of DSSM with competing cognitive-archaeological frameworks — material engagement theory, modes of religiosity, practice theory, niche construction theory — on the specific dimension of falsifiable prediction generation, to provide the evidentiary basis for the novelty claims currently asserted but not systematically demonstrated.</w:t>
      </w:r>
    </w:p>
    <w:p w14:paraId="2683C8D9"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The Deep Symbolic Systems Model tries to provide a mechanistic, cognitively grounded, and empirically operationalizable framework for understanding civilizational emergence. </w:t>
      </w:r>
    </w:p>
    <w:p w14:paraId="28BCF750"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7.4 Supplementary Data: Community Size and Stage 3 Threshold (Prediction P7)</w:t>
      </w:r>
    </w:p>
    <w:p w14:paraId="746880AA"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 xml:space="preserve">This section presents supplementary quantitative data for Predictions P3 and P7. Table 6 reports the preliminary artifact CV trajectory across the Egyptian stratigraphic sequence (Prediction P3: artifact standardization precedes institutional elaboration). Table 7 presents community size estimates and Stage 3 threshold evaluation for the eight comparison societies (Prediction P7: Stage 3 crossing requires effective community size above </w:t>
      </w:r>
      <w:r>
        <w:rPr>
          <w:rFonts w:ascii="Cambria Math" w:hAnsi="Cambria Math" w:cs="Cambria Math"/>
          <w:sz w:val="24"/>
          <w:szCs w:val="24"/>
        </w:rPr>
        <w:t>∼</w:t>
      </w:r>
      <w:r>
        <w:rPr>
          <w:rFonts w:ascii="Times New Roman" w:hAnsi="Times New Roman" w:cs="Times New Roman"/>
          <w:sz w:val="24"/>
          <w:szCs w:val="24"/>
        </w:rPr>
        <w:t>500 individuals). Both tables constitute first-order empirical evidence requiring systematic validation through primary morphometric re-analysis and settlement area studies (see Section 7.3).</w:t>
      </w:r>
    </w:p>
    <w:p w14:paraId="681CFA5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community size data confirm that all societies with community sizes above the ~500-individual threshold achieved Stage 3, and all societies below the threshold did not. The Corded Ware and Late Neolithic Britain cases, at the margin of the threshold (~200–800), show partial Stage 3 completion consistent with P7. See Figure 5 (Panel B) for visual display of these threshold relationships.</w:t>
      </w:r>
    </w:p>
    <w:p w14:paraId="3ABC836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Table 6 presents preliminary CV values derived from published assemblage tables for three artifact classes (ceramic, mortuary, stone tool) across eight Egyptian stratigraphic phases. These values constitute a first-order test of Prediction P3: artifact standardization precedes institutional elaboration. For the community size data supporting Prediction P7, see Table 7 (Section 7.4).</w:t>
      </w:r>
    </w:p>
    <w:p w14:paraId="6D097E79" w14:textId="77777777" w:rsidR="0023539C" w:rsidRDefault="0023539C" w:rsidP="00001DC4">
      <w:pPr>
        <w:ind w:firstLine="0"/>
        <w:jc w:val="center"/>
        <w:rPr>
          <w:rFonts w:ascii="Times New Roman" w:hAnsi="Times New Roman" w:cs="Times New Roman"/>
          <w:b/>
          <w:bCs/>
          <w:sz w:val="24"/>
          <w:szCs w:val="24"/>
        </w:rPr>
      </w:pPr>
      <w:r>
        <w:rPr>
          <w:rFonts w:ascii="Times New Roman" w:hAnsi="Times New Roman" w:cs="Times New Roman"/>
          <w:b/>
          <w:bCs/>
          <w:sz w:val="24"/>
          <w:szCs w:val="24"/>
        </w:rPr>
        <w:t>Table 6. Artifact CV Trajectory by Stratigraphic Phase (Prediction P3)</w:t>
      </w:r>
    </w:p>
    <w:tbl>
      <w:tblPr>
        <w:tblW w:w="0" w:type="auto"/>
        <w:jc w:val="center"/>
        <w:tblLayout w:type="fixed"/>
        <w:tblCellMar>
          <w:top w:w="60" w:type="dxa"/>
          <w:left w:w="80" w:type="dxa"/>
          <w:bottom w:w="60" w:type="dxa"/>
          <w:right w:w="80" w:type="dxa"/>
        </w:tblCellMar>
        <w:tblLook w:val="0000" w:firstRow="0" w:lastRow="0" w:firstColumn="0" w:lastColumn="0" w:noHBand="0" w:noVBand="0"/>
      </w:tblPr>
      <w:tblGrid>
        <w:gridCol w:w="1413"/>
        <w:gridCol w:w="1720"/>
        <w:gridCol w:w="1520"/>
        <w:gridCol w:w="1735"/>
        <w:gridCol w:w="2116"/>
      </w:tblGrid>
      <w:tr w:rsidR="0023539C" w14:paraId="0C22DC7F" w14:textId="77777777">
        <w:trPr>
          <w:tblHeade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45DE6C"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Phase (BCE)</w:t>
            </w:r>
          </w:p>
        </w:tc>
        <w:tc>
          <w:tcPr>
            <w:tcW w:w="17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28F74"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Ceramic CV (±95% CI) / Phase</w:t>
            </w:r>
          </w:p>
        </w:tc>
        <w:tc>
          <w:tcPr>
            <w:tcW w:w="15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63426"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Mortuary CV (±95% CI)</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B7BEF"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Stone Tool CV / Stage 3 Crossed</w:t>
            </w:r>
          </w:p>
        </w:tc>
        <w:tc>
          <w:tcPr>
            <w:tcW w:w="2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E4968"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Stage (DSSM) / Institutional Outcome</w:t>
            </w:r>
          </w:p>
        </w:tc>
      </w:tr>
      <w:tr w:rsidR="0023539C" w14:paraId="3C7F6A0A"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071B314"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Badarian 4500–4000</w:t>
            </w:r>
          </w:p>
        </w:tc>
        <w:tc>
          <w:tcPr>
            <w:tcW w:w="1720" w:type="dxa"/>
            <w:tcBorders>
              <w:top w:val="single" w:sz="4" w:space="0" w:color="000000"/>
              <w:left w:val="single" w:sz="4" w:space="0" w:color="000000"/>
              <w:bottom w:val="single" w:sz="4" w:space="0" w:color="000000"/>
              <w:right w:val="single" w:sz="4" w:space="0" w:color="000000"/>
            </w:tcBorders>
            <w:vAlign w:val="center"/>
          </w:tcPr>
          <w:p w14:paraId="14EFCFEC"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0.41 ±0.05</w:t>
            </w:r>
          </w:p>
        </w:tc>
        <w:tc>
          <w:tcPr>
            <w:tcW w:w="1520" w:type="dxa"/>
            <w:tcBorders>
              <w:top w:val="single" w:sz="4" w:space="0" w:color="000000"/>
              <w:left w:val="single" w:sz="4" w:space="0" w:color="000000"/>
              <w:bottom w:val="single" w:sz="4" w:space="0" w:color="000000"/>
              <w:right w:val="single" w:sz="4" w:space="0" w:color="000000"/>
            </w:tcBorders>
            <w:vAlign w:val="center"/>
          </w:tcPr>
          <w:p w14:paraId="4F08596A"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0.38 ±0.05</w:t>
            </w:r>
          </w:p>
        </w:tc>
        <w:tc>
          <w:tcPr>
            <w:tcW w:w="1735" w:type="dxa"/>
            <w:tcBorders>
              <w:top w:val="single" w:sz="4" w:space="0" w:color="000000"/>
              <w:left w:val="single" w:sz="4" w:space="0" w:color="000000"/>
              <w:bottom w:val="single" w:sz="4" w:space="0" w:color="000000"/>
              <w:right w:val="single" w:sz="4" w:space="0" w:color="000000"/>
            </w:tcBorders>
            <w:vAlign w:val="center"/>
          </w:tcPr>
          <w:p w14:paraId="0E5B18B1"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0.44 / —</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0854"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1</w:t>
            </w:r>
          </w:p>
        </w:tc>
      </w:tr>
      <w:tr w:rsidR="0023539C" w14:paraId="71C10DC9"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F13CE3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Naqada Ia 4000–3700</w:t>
            </w:r>
          </w:p>
        </w:tc>
        <w:tc>
          <w:tcPr>
            <w:tcW w:w="1720" w:type="dxa"/>
            <w:tcBorders>
              <w:top w:val="single" w:sz="4" w:space="0" w:color="000000"/>
              <w:left w:val="single" w:sz="4" w:space="0" w:color="000000"/>
              <w:bottom w:val="single" w:sz="4" w:space="0" w:color="000000"/>
              <w:right w:val="single" w:sz="4" w:space="0" w:color="000000"/>
            </w:tcBorders>
            <w:vAlign w:val="center"/>
          </w:tcPr>
          <w:p w14:paraId="35DAB98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0.36 ±0.04</w:t>
            </w:r>
          </w:p>
        </w:tc>
        <w:tc>
          <w:tcPr>
            <w:tcW w:w="1520" w:type="dxa"/>
            <w:tcBorders>
              <w:top w:val="single" w:sz="4" w:space="0" w:color="000000"/>
              <w:left w:val="single" w:sz="4" w:space="0" w:color="000000"/>
              <w:bottom w:val="single" w:sz="4" w:space="0" w:color="000000"/>
              <w:right w:val="single" w:sz="4" w:space="0" w:color="000000"/>
            </w:tcBorders>
            <w:vAlign w:val="center"/>
          </w:tcPr>
          <w:p w14:paraId="230BFD4F"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0.33 ±0.04</w:t>
            </w:r>
          </w:p>
        </w:tc>
        <w:tc>
          <w:tcPr>
            <w:tcW w:w="1735" w:type="dxa"/>
            <w:tcBorders>
              <w:top w:val="single" w:sz="4" w:space="0" w:color="000000"/>
              <w:left w:val="single" w:sz="4" w:space="0" w:color="000000"/>
              <w:bottom w:val="single" w:sz="4" w:space="0" w:color="000000"/>
              <w:right w:val="single" w:sz="4" w:space="0" w:color="000000"/>
            </w:tcBorders>
            <w:vAlign w:val="center"/>
          </w:tcPr>
          <w:p w14:paraId="1E0178F2"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0.39 / —</w:t>
            </w:r>
          </w:p>
        </w:tc>
        <w:tc>
          <w:tcPr>
            <w:tcW w:w="2116" w:type="dxa"/>
            <w:tcBorders>
              <w:top w:val="single" w:sz="4" w:space="0" w:color="000000"/>
              <w:left w:val="single" w:sz="4" w:space="0" w:color="000000"/>
              <w:bottom w:val="single" w:sz="4" w:space="0" w:color="000000"/>
              <w:right w:val="single" w:sz="4" w:space="0" w:color="000000"/>
            </w:tcBorders>
            <w:vAlign w:val="center"/>
          </w:tcPr>
          <w:p w14:paraId="3989AD10"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1→2</w:t>
            </w:r>
          </w:p>
        </w:tc>
      </w:tr>
      <w:tr w:rsidR="0023539C" w14:paraId="5E592186"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63AC318"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Naqada Ib-c 3700–3500</w:t>
            </w:r>
          </w:p>
        </w:tc>
        <w:tc>
          <w:tcPr>
            <w:tcW w:w="1720" w:type="dxa"/>
            <w:tcBorders>
              <w:top w:val="single" w:sz="4" w:space="0" w:color="000000"/>
              <w:left w:val="single" w:sz="4" w:space="0" w:color="000000"/>
              <w:bottom w:val="single" w:sz="4" w:space="0" w:color="000000"/>
              <w:right w:val="single" w:sz="4" w:space="0" w:color="000000"/>
            </w:tcBorders>
            <w:vAlign w:val="center"/>
          </w:tcPr>
          <w:p w14:paraId="675B38EC"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0.29 ±0.04</w:t>
            </w:r>
          </w:p>
        </w:tc>
        <w:tc>
          <w:tcPr>
            <w:tcW w:w="1520" w:type="dxa"/>
            <w:tcBorders>
              <w:top w:val="single" w:sz="4" w:space="0" w:color="000000"/>
              <w:left w:val="single" w:sz="4" w:space="0" w:color="000000"/>
              <w:bottom w:val="single" w:sz="4" w:space="0" w:color="000000"/>
              <w:right w:val="single" w:sz="4" w:space="0" w:color="000000"/>
            </w:tcBorders>
            <w:vAlign w:val="center"/>
          </w:tcPr>
          <w:p w14:paraId="31A3A15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0.27 ±0.035</w:t>
            </w:r>
          </w:p>
        </w:tc>
        <w:tc>
          <w:tcPr>
            <w:tcW w:w="1735" w:type="dxa"/>
            <w:tcBorders>
              <w:top w:val="single" w:sz="4" w:space="0" w:color="000000"/>
              <w:left w:val="single" w:sz="4" w:space="0" w:color="000000"/>
              <w:bottom w:val="single" w:sz="4" w:space="0" w:color="000000"/>
              <w:right w:val="single" w:sz="4" w:space="0" w:color="000000"/>
            </w:tcBorders>
            <w:vAlign w:val="center"/>
          </w:tcPr>
          <w:p w14:paraId="6D710D6C"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0.32 / —</w:t>
            </w:r>
          </w:p>
        </w:tc>
        <w:tc>
          <w:tcPr>
            <w:tcW w:w="2116" w:type="dxa"/>
            <w:tcBorders>
              <w:top w:val="single" w:sz="4" w:space="0" w:color="000000"/>
              <w:left w:val="single" w:sz="4" w:space="0" w:color="000000"/>
              <w:bottom w:val="single" w:sz="4" w:space="0" w:color="000000"/>
              <w:right w:val="single" w:sz="4" w:space="0" w:color="000000"/>
            </w:tcBorders>
            <w:vAlign w:val="center"/>
          </w:tcPr>
          <w:p w14:paraId="251CD662"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2</w:t>
            </w:r>
          </w:p>
        </w:tc>
      </w:tr>
      <w:tr w:rsidR="0023539C" w14:paraId="4F480420"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C680D2A"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Naqada IIa-b 3500–3350</w:t>
            </w:r>
          </w:p>
        </w:tc>
        <w:tc>
          <w:tcPr>
            <w:tcW w:w="1720" w:type="dxa"/>
            <w:tcBorders>
              <w:top w:val="single" w:sz="4" w:space="0" w:color="000000"/>
              <w:left w:val="single" w:sz="4" w:space="0" w:color="000000"/>
              <w:bottom w:val="single" w:sz="4" w:space="0" w:color="000000"/>
              <w:right w:val="single" w:sz="4" w:space="0" w:color="000000"/>
            </w:tcBorders>
            <w:vAlign w:val="center"/>
          </w:tcPr>
          <w:p w14:paraId="5ECDC4EB"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0.23 ±0.03</w:t>
            </w:r>
          </w:p>
        </w:tc>
        <w:tc>
          <w:tcPr>
            <w:tcW w:w="1520" w:type="dxa"/>
            <w:tcBorders>
              <w:top w:val="single" w:sz="4" w:space="0" w:color="000000"/>
              <w:left w:val="single" w:sz="4" w:space="0" w:color="000000"/>
              <w:bottom w:val="single" w:sz="4" w:space="0" w:color="000000"/>
              <w:right w:val="single" w:sz="4" w:space="0" w:color="000000"/>
            </w:tcBorders>
            <w:vAlign w:val="center"/>
          </w:tcPr>
          <w:p w14:paraId="17086236"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0.20 ±0.025</w:t>
            </w:r>
          </w:p>
        </w:tc>
        <w:tc>
          <w:tcPr>
            <w:tcW w:w="1735" w:type="dxa"/>
            <w:tcBorders>
              <w:top w:val="single" w:sz="4" w:space="0" w:color="000000"/>
              <w:left w:val="single" w:sz="4" w:space="0" w:color="000000"/>
              <w:bottom w:val="single" w:sz="4" w:space="0" w:color="000000"/>
              <w:right w:val="single" w:sz="4" w:space="0" w:color="000000"/>
            </w:tcBorders>
            <w:vAlign w:val="center"/>
          </w:tcPr>
          <w:p w14:paraId="37AC683E"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0.26 / —</w:t>
            </w:r>
          </w:p>
        </w:tc>
        <w:tc>
          <w:tcPr>
            <w:tcW w:w="2116" w:type="dxa"/>
            <w:tcBorders>
              <w:top w:val="single" w:sz="4" w:space="0" w:color="000000"/>
              <w:left w:val="single" w:sz="4" w:space="0" w:color="000000"/>
              <w:bottom w:val="single" w:sz="4" w:space="0" w:color="000000"/>
              <w:right w:val="single" w:sz="4" w:space="0" w:color="000000"/>
            </w:tcBorders>
            <w:vAlign w:val="center"/>
          </w:tcPr>
          <w:p w14:paraId="6C27D5F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2</w:t>
            </w:r>
          </w:p>
        </w:tc>
      </w:tr>
      <w:tr w:rsidR="0023539C" w14:paraId="2A04F8D3"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8D31DAA"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Naqada IIc-d 3350–3200</w:t>
            </w:r>
          </w:p>
        </w:tc>
        <w:tc>
          <w:tcPr>
            <w:tcW w:w="1720" w:type="dxa"/>
            <w:tcBorders>
              <w:top w:val="single" w:sz="4" w:space="0" w:color="000000"/>
              <w:left w:val="single" w:sz="4" w:space="0" w:color="000000"/>
              <w:bottom w:val="single" w:sz="4" w:space="0" w:color="000000"/>
              <w:right w:val="single" w:sz="4" w:space="0" w:color="000000"/>
            </w:tcBorders>
            <w:vAlign w:val="center"/>
          </w:tcPr>
          <w:p w14:paraId="7625B4A8"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0.16 ±0.025</w:t>
            </w:r>
          </w:p>
        </w:tc>
        <w:tc>
          <w:tcPr>
            <w:tcW w:w="1520" w:type="dxa"/>
            <w:tcBorders>
              <w:top w:val="single" w:sz="4" w:space="0" w:color="000000"/>
              <w:left w:val="single" w:sz="4" w:space="0" w:color="000000"/>
              <w:bottom w:val="single" w:sz="4" w:space="0" w:color="000000"/>
              <w:right w:val="single" w:sz="4" w:space="0" w:color="000000"/>
            </w:tcBorders>
            <w:vAlign w:val="center"/>
          </w:tcPr>
          <w:p w14:paraId="1F909030"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0.13 ±0.02</w:t>
            </w:r>
          </w:p>
        </w:tc>
        <w:tc>
          <w:tcPr>
            <w:tcW w:w="1735" w:type="dxa"/>
            <w:tcBorders>
              <w:top w:val="single" w:sz="4" w:space="0" w:color="000000"/>
              <w:left w:val="single" w:sz="4" w:space="0" w:color="000000"/>
              <w:bottom w:val="single" w:sz="4" w:space="0" w:color="000000"/>
              <w:right w:val="single" w:sz="4" w:space="0" w:color="000000"/>
            </w:tcBorders>
            <w:vAlign w:val="center"/>
          </w:tcPr>
          <w:p w14:paraId="07F83E5C"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0.19 / Partial</w:t>
            </w:r>
          </w:p>
        </w:tc>
        <w:tc>
          <w:tcPr>
            <w:tcW w:w="2116" w:type="dxa"/>
            <w:tcBorders>
              <w:top w:val="single" w:sz="4" w:space="0" w:color="000000"/>
              <w:left w:val="single" w:sz="4" w:space="0" w:color="000000"/>
              <w:bottom w:val="single" w:sz="4" w:space="0" w:color="000000"/>
              <w:right w:val="single" w:sz="4" w:space="0" w:color="000000"/>
            </w:tcBorders>
            <w:vAlign w:val="center"/>
          </w:tcPr>
          <w:p w14:paraId="597CF662"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2→3*</w:t>
            </w:r>
          </w:p>
        </w:tc>
      </w:tr>
      <w:tr w:rsidR="0023539C" w14:paraId="16DC961E"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BCA8DB9"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Naqada III 3200–3100</w:t>
            </w:r>
          </w:p>
        </w:tc>
        <w:tc>
          <w:tcPr>
            <w:tcW w:w="1720" w:type="dxa"/>
            <w:tcBorders>
              <w:top w:val="single" w:sz="4" w:space="0" w:color="000000"/>
              <w:left w:val="single" w:sz="4" w:space="0" w:color="000000"/>
              <w:bottom w:val="single" w:sz="4" w:space="0" w:color="000000"/>
              <w:right w:val="single" w:sz="4" w:space="0" w:color="000000"/>
            </w:tcBorders>
            <w:vAlign w:val="center"/>
          </w:tcPr>
          <w:p w14:paraId="44ABA83B"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0.11 ±0.02</w:t>
            </w:r>
          </w:p>
        </w:tc>
        <w:tc>
          <w:tcPr>
            <w:tcW w:w="1520" w:type="dxa"/>
            <w:tcBorders>
              <w:top w:val="single" w:sz="4" w:space="0" w:color="000000"/>
              <w:left w:val="single" w:sz="4" w:space="0" w:color="000000"/>
              <w:bottom w:val="single" w:sz="4" w:space="0" w:color="000000"/>
              <w:right w:val="single" w:sz="4" w:space="0" w:color="000000"/>
            </w:tcBorders>
            <w:vAlign w:val="center"/>
          </w:tcPr>
          <w:p w14:paraId="0861B7DA"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0.10 ±0.015</w:t>
            </w:r>
          </w:p>
        </w:tc>
        <w:tc>
          <w:tcPr>
            <w:tcW w:w="1735" w:type="dxa"/>
            <w:tcBorders>
              <w:top w:val="single" w:sz="4" w:space="0" w:color="000000"/>
              <w:left w:val="single" w:sz="4" w:space="0" w:color="000000"/>
              <w:bottom w:val="single" w:sz="4" w:space="0" w:color="000000"/>
              <w:right w:val="single" w:sz="4" w:space="0" w:color="000000"/>
            </w:tcBorders>
            <w:vAlign w:val="center"/>
          </w:tcPr>
          <w:p w14:paraId="27D6E68F"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0.14 / Yes</w:t>
            </w:r>
          </w:p>
        </w:tc>
        <w:tc>
          <w:tcPr>
            <w:tcW w:w="2116" w:type="dxa"/>
            <w:tcBorders>
              <w:top w:val="single" w:sz="4" w:space="0" w:color="000000"/>
              <w:left w:val="single" w:sz="4" w:space="0" w:color="000000"/>
              <w:bottom w:val="single" w:sz="4" w:space="0" w:color="000000"/>
              <w:right w:val="single" w:sz="4" w:space="0" w:color="000000"/>
            </w:tcBorders>
            <w:vAlign w:val="center"/>
          </w:tcPr>
          <w:p w14:paraId="7A57D6E9"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3</w:t>
            </w:r>
          </w:p>
        </w:tc>
      </w:tr>
      <w:tr w:rsidR="0023539C" w14:paraId="6B6F71CD"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777BEE9"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Dyn. 0–1, 3100–2900</w:t>
            </w:r>
          </w:p>
        </w:tc>
        <w:tc>
          <w:tcPr>
            <w:tcW w:w="1720" w:type="dxa"/>
            <w:tcBorders>
              <w:top w:val="single" w:sz="4" w:space="0" w:color="000000"/>
              <w:left w:val="single" w:sz="4" w:space="0" w:color="000000"/>
              <w:bottom w:val="single" w:sz="4" w:space="0" w:color="000000"/>
              <w:right w:val="single" w:sz="4" w:space="0" w:color="000000"/>
            </w:tcBorders>
            <w:vAlign w:val="center"/>
          </w:tcPr>
          <w:p w14:paraId="37E3CB7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0.09 ±0.015</w:t>
            </w:r>
          </w:p>
        </w:tc>
        <w:tc>
          <w:tcPr>
            <w:tcW w:w="1520" w:type="dxa"/>
            <w:tcBorders>
              <w:top w:val="single" w:sz="4" w:space="0" w:color="000000"/>
              <w:left w:val="single" w:sz="4" w:space="0" w:color="000000"/>
              <w:bottom w:val="single" w:sz="4" w:space="0" w:color="000000"/>
              <w:right w:val="single" w:sz="4" w:space="0" w:color="000000"/>
            </w:tcBorders>
            <w:vAlign w:val="center"/>
          </w:tcPr>
          <w:p w14:paraId="3901270A"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0.08 ±0.012</w:t>
            </w:r>
          </w:p>
        </w:tc>
        <w:tc>
          <w:tcPr>
            <w:tcW w:w="1735" w:type="dxa"/>
            <w:tcBorders>
              <w:top w:val="single" w:sz="4" w:space="0" w:color="000000"/>
              <w:left w:val="single" w:sz="4" w:space="0" w:color="000000"/>
              <w:bottom w:val="single" w:sz="4" w:space="0" w:color="000000"/>
              <w:right w:val="single" w:sz="4" w:space="0" w:color="000000"/>
            </w:tcBorders>
            <w:vAlign w:val="center"/>
          </w:tcPr>
          <w:p w14:paraId="7C4374CF"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0.11 / Yes</w:t>
            </w:r>
          </w:p>
        </w:tc>
        <w:tc>
          <w:tcPr>
            <w:tcW w:w="2116" w:type="dxa"/>
            <w:tcBorders>
              <w:top w:val="single" w:sz="4" w:space="0" w:color="000000"/>
              <w:left w:val="single" w:sz="4" w:space="0" w:color="000000"/>
              <w:bottom w:val="single" w:sz="4" w:space="0" w:color="000000"/>
              <w:right w:val="single" w:sz="4" w:space="0" w:color="000000"/>
            </w:tcBorders>
            <w:vAlign w:val="center"/>
          </w:tcPr>
          <w:p w14:paraId="42E522A8"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4</w:t>
            </w:r>
          </w:p>
        </w:tc>
      </w:tr>
      <w:tr w:rsidR="0023539C" w14:paraId="589550EE" w14:textId="7777777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D6DBF75"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Old Kingdom ~2650</w:t>
            </w:r>
          </w:p>
        </w:tc>
        <w:tc>
          <w:tcPr>
            <w:tcW w:w="1720" w:type="dxa"/>
            <w:tcBorders>
              <w:top w:val="single" w:sz="4" w:space="0" w:color="000000"/>
              <w:left w:val="single" w:sz="4" w:space="0" w:color="000000"/>
              <w:bottom w:val="single" w:sz="4" w:space="0" w:color="000000"/>
              <w:right w:val="single" w:sz="4" w:space="0" w:color="000000"/>
            </w:tcBorders>
            <w:vAlign w:val="center"/>
          </w:tcPr>
          <w:p w14:paraId="6656BA40"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0.08 ±0.015</w:t>
            </w:r>
          </w:p>
        </w:tc>
        <w:tc>
          <w:tcPr>
            <w:tcW w:w="1520" w:type="dxa"/>
            <w:tcBorders>
              <w:top w:val="single" w:sz="4" w:space="0" w:color="000000"/>
              <w:left w:val="single" w:sz="4" w:space="0" w:color="000000"/>
              <w:bottom w:val="single" w:sz="4" w:space="0" w:color="000000"/>
              <w:right w:val="single" w:sz="4" w:space="0" w:color="000000"/>
            </w:tcBorders>
            <w:vAlign w:val="center"/>
          </w:tcPr>
          <w:p w14:paraId="283425C8"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0.07 ±0.012</w:t>
            </w:r>
          </w:p>
        </w:tc>
        <w:tc>
          <w:tcPr>
            <w:tcW w:w="1735" w:type="dxa"/>
            <w:tcBorders>
              <w:top w:val="single" w:sz="4" w:space="0" w:color="000000"/>
              <w:left w:val="single" w:sz="4" w:space="0" w:color="000000"/>
              <w:bottom w:val="single" w:sz="4" w:space="0" w:color="000000"/>
              <w:right w:val="single" w:sz="4" w:space="0" w:color="000000"/>
            </w:tcBorders>
            <w:vAlign w:val="center"/>
          </w:tcPr>
          <w:p w14:paraId="739A3F26"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0.09 / Yes</w:t>
            </w:r>
          </w:p>
        </w:tc>
        <w:tc>
          <w:tcPr>
            <w:tcW w:w="2116" w:type="dxa"/>
            <w:tcBorders>
              <w:top w:val="single" w:sz="4" w:space="0" w:color="000000"/>
              <w:left w:val="single" w:sz="4" w:space="0" w:color="000000"/>
              <w:bottom w:val="single" w:sz="4" w:space="0" w:color="000000"/>
              <w:right w:val="single" w:sz="4" w:space="0" w:color="000000"/>
            </w:tcBorders>
            <w:vAlign w:val="center"/>
          </w:tcPr>
          <w:p w14:paraId="7F75784E" w14:textId="77777777" w:rsidR="0023539C" w:rsidRPr="00001DC4" w:rsidRDefault="0023539C" w:rsidP="008A2B4C">
            <w:pPr>
              <w:jc w:val="center"/>
              <w:rPr>
                <w:rFonts w:ascii="Times New Roman" w:hAnsi="Times New Roman" w:cs="Times New Roman"/>
                <w:sz w:val="20"/>
                <w:szCs w:val="20"/>
              </w:rPr>
            </w:pPr>
            <w:r>
              <w:rPr>
                <w:rFonts w:ascii="Times New Roman" w:hAnsi="Times New Roman" w:cs="Times New Roman"/>
                <w:sz w:val="20"/>
                <w:szCs w:val="20"/>
              </w:rPr>
              <w:t>Stage 4 peak</w:t>
            </w:r>
          </w:p>
        </w:tc>
      </w:tr>
    </w:tbl>
    <w:p w14:paraId="734E9964" w14:textId="77777777" w:rsidR="0023539C" w:rsidRPr="00001DC4" w:rsidRDefault="0023539C" w:rsidP="00001DC4">
      <w:pPr>
        <w:ind w:firstLine="0"/>
        <w:rPr>
          <w:rFonts w:ascii="Times New Roman" w:hAnsi="Times New Roman" w:cs="Times New Roman"/>
          <w:sz w:val="24"/>
          <w:szCs w:val="24"/>
        </w:rPr>
      </w:pPr>
      <w:r>
        <w:rPr>
          <w:rFonts w:ascii="Times New Roman" w:hAnsi="Times New Roman" w:cs="Times New Roman"/>
          <w:sz w:val="24"/>
          <w:szCs w:val="24"/>
        </w:rPr>
        <w:t>Note: CV values are estimated from published assemblage reports (primarily Stevenson, 2016; Lycett &amp; Chauhan, 2019) rather than from primary morphometric re-analysis. Values represent preliminary estimates requiring systematic validation. Ceramic CV = coefficient of variation for ceramic typological classes per stratigraphic phase; Mortuary CV = mortuary assemblage variation; Stone Tool CV = lithic typological variation. Stage 3 threshold: CV &lt; 0.15.</w:t>
      </w:r>
    </w:p>
    <w:p w14:paraId="643291E6" w14:textId="77777777" w:rsidR="00001DC4" w:rsidRDefault="00001DC4" w:rsidP="00001DC4">
      <w:pPr>
        <w:ind w:firstLine="0"/>
        <w:rPr>
          <w:rFonts w:ascii="Times New Roman" w:hAnsi="Times New Roman" w:cs="Times New Roman"/>
          <w:b/>
          <w:bCs/>
          <w:sz w:val="24"/>
          <w:szCs w:val="24"/>
        </w:rPr>
      </w:pPr>
    </w:p>
    <w:p w14:paraId="295F96DA" w14:textId="7BD98E3C" w:rsidR="0023539C" w:rsidRDefault="0023539C" w:rsidP="00001DC4">
      <w:pPr>
        <w:ind w:firstLine="0"/>
        <w:rPr>
          <w:rFonts w:ascii="Times New Roman" w:hAnsi="Times New Roman" w:cs="Times New Roman"/>
          <w:b/>
          <w:bCs/>
          <w:sz w:val="24"/>
          <w:szCs w:val="24"/>
        </w:rPr>
      </w:pPr>
      <w:r>
        <w:rPr>
          <w:rFonts w:ascii="Times New Roman" w:hAnsi="Times New Roman" w:cs="Times New Roman"/>
          <w:b/>
          <w:bCs/>
          <w:sz w:val="24"/>
          <w:szCs w:val="24"/>
        </w:rPr>
        <w:t>Table 7. Community Size Data and Stage 3 Threshold Evaluation (Prediction P7)</w:t>
      </w:r>
    </w:p>
    <w:tbl>
      <w:tblPr>
        <w:tblW w:w="0" w:type="auto"/>
        <w:jc w:val="center"/>
        <w:tblLayout w:type="fixed"/>
        <w:tblCellMar>
          <w:top w:w="60" w:type="dxa"/>
          <w:left w:w="80" w:type="dxa"/>
          <w:bottom w:w="60" w:type="dxa"/>
          <w:right w:w="80" w:type="dxa"/>
        </w:tblCellMar>
        <w:tblLook w:val="0000" w:firstRow="0" w:lastRow="0" w:firstColumn="0" w:lastColumn="0" w:noHBand="0" w:noVBand="0"/>
      </w:tblPr>
      <w:tblGrid>
        <w:gridCol w:w="2114"/>
        <w:gridCol w:w="1825"/>
        <w:gridCol w:w="1819"/>
        <w:gridCol w:w="1199"/>
        <w:gridCol w:w="1547"/>
      </w:tblGrid>
      <w:tr w:rsidR="0023539C" w14:paraId="7AD0097D" w14:textId="77777777">
        <w:trPr>
          <w:tblHeader/>
          <w:jc w:val="center"/>
        </w:trPr>
        <w:tc>
          <w:tcPr>
            <w:tcW w:w="2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2AF6E5"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Society</w:t>
            </w:r>
          </w:p>
        </w:tc>
        <w:tc>
          <w:tcPr>
            <w:tcW w:w="18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E96E5"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Est. Effective Community Size</w:t>
            </w:r>
          </w:p>
        </w:tc>
        <w:tc>
          <w:tcPr>
            <w:tcW w:w="18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F91A8"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Primary Source</w:t>
            </w:r>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8391ED"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Stage 3 Crossed?</w:t>
            </w:r>
          </w:p>
        </w:tc>
        <w:tc>
          <w:tcPr>
            <w:tcW w:w="1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21E44" w14:textId="77777777" w:rsidR="0023539C" w:rsidRPr="00001DC4" w:rsidRDefault="0023539C" w:rsidP="00001DC4">
            <w:pPr>
              <w:ind w:firstLine="0"/>
              <w:jc w:val="center"/>
              <w:rPr>
                <w:rFonts w:ascii="Times New Roman" w:hAnsi="Times New Roman" w:cs="Times New Roman"/>
              </w:rPr>
            </w:pPr>
            <w:r>
              <w:rPr>
                <w:rFonts w:ascii="Times New Roman" w:hAnsi="Times New Roman" w:cs="Times New Roman"/>
                <w:b/>
                <w:bCs/>
              </w:rPr>
              <w:t>Institutional Outcome</w:t>
            </w:r>
          </w:p>
        </w:tc>
      </w:tr>
      <w:tr w:rsidR="0023539C" w:rsidRPr="00001DC4" w14:paraId="7A68409F"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1A090B1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Naqada II Hierakonpolis (~3500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67FBC6AD"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~2,000–5,000</w:t>
            </w:r>
          </w:p>
        </w:tc>
        <w:tc>
          <w:tcPr>
            <w:tcW w:w="1819" w:type="dxa"/>
            <w:tcBorders>
              <w:top w:val="single" w:sz="4" w:space="0" w:color="000000"/>
              <w:left w:val="single" w:sz="4" w:space="0" w:color="000000"/>
              <w:bottom w:val="single" w:sz="4" w:space="0" w:color="000000"/>
              <w:right w:val="single" w:sz="4" w:space="0" w:color="000000"/>
            </w:tcBorders>
            <w:vAlign w:val="center"/>
          </w:tcPr>
          <w:p w14:paraId="4101B9B5"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Hassan (1985)</w:t>
            </w:r>
          </w:p>
        </w:tc>
        <w:tc>
          <w:tcPr>
            <w:tcW w:w="1199" w:type="dxa"/>
            <w:tcBorders>
              <w:top w:val="single" w:sz="4" w:space="0" w:color="000000"/>
              <w:left w:val="single" w:sz="4" w:space="0" w:color="000000"/>
              <w:bottom w:val="single" w:sz="4" w:space="0" w:color="000000"/>
              <w:right w:val="single" w:sz="4" w:space="0" w:color="000000"/>
            </w:tcBorders>
            <w:vAlign w:val="center"/>
          </w:tcPr>
          <w:p w14:paraId="7A3E2CF1"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Yes</w:t>
            </w:r>
          </w:p>
        </w:tc>
        <w:tc>
          <w:tcPr>
            <w:tcW w:w="1547" w:type="dxa"/>
            <w:tcBorders>
              <w:top w:val="single" w:sz="4" w:space="0" w:color="000000"/>
              <w:left w:val="single" w:sz="4" w:space="0" w:color="000000"/>
              <w:bottom w:val="single" w:sz="4" w:space="0" w:color="000000"/>
              <w:right w:val="single" w:sz="4" w:space="0" w:color="000000"/>
            </w:tcBorders>
            <w:vAlign w:val="center"/>
          </w:tcPr>
          <w:p w14:paraId="3E4F11BC"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State ~3100 BCE</w:t>
            </w:r>
          </w:p>
        </w:tc>
      </w:tr>
      <w:tr w:rsidR="0023539C" w:rsidRPr="00001DC4" w14:paraId="49529277"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0C84001D"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Ubaid Mesopotamia (~3800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3F04FEAD"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~3,000–8,000</w:t>
            </w:r>
          </w:p>
        </w:tc>
        <w:tc>
          <w:tcPr>
            <w:tcW w:w="1819" w:type="dxa"/>
            <w:tcBorders>
              <w:top w:val="single" w:sz="4" w:space="0" w:color="000000"/>
              <w:left w:val="single" w:sz="4" w:space="0" w:color="000000"/>
              <w:bottom w:val="single" w:sz="4" w:space="0" w:color="000000"/>
              <w:right w:val="single" w:sz="4" w:space="0" w:color="000000"/>
            </w:tcBorders>
            <w:vAlign w:val="center"/>
          </w:tcPr>
          <w:p w14:paraId="3DAAF7C8"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Stein (2017)</w:t>
            </w:r>
          </w:p>
        </w:tc>
        <w:tc>
          <w:tcPr>
            <w:tcW w:w="1199" w:type="dxa"/>
            <w:tcBorders>
              <w:top w:val="single" w:sz="4" w:space="0" w:color="000000"/>
              <w:left w:val="single" w:sz="4" w:space="0" w:color="000000"/>
              <w:bottom w:val="single" w:sz="4" w:space="0" w:color="000000"/>
              <w:right w:val="single" w:sz="4" w:space="0" w:color="000000"/>
            </w:tcBorders>
            <w:vAlign w:val="center"/>
          </w:tcPr>
          <w:p w14:paraId="62F091B0"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Yes</w:t>
            </w:r>
          </w:p>
        </w:tc>
        <w:tc>
          <w:tcPr>
            <w:tcW w:w="1547" w:type="dxa"/>
            <w:tcBorders>
              <w:top w:val="single" w:sz="4" w:space="0" w:color="000000"/>
              <w:left w:val="single" w:sz="4" w:space="0" w:color="000000"/>
              <w:bottom w:val="single" w:sz="4" w:space="0" w:color="000000"/>
              <w:right w:val="single" w:sz="4" w:space="0" w:color="000000"/>
            </w:tcBorders>
            <w:vAlign w:val="center"/>
          </w:tcPr>
          <w:p w14:paraId="42120B91"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State ~3200 BCE</w:t>
            </w:r>
          </w:p>
        </w:tc>
      </w:tr>
      <w:tr w:rsidR="0023539C" w:rsidRPr="00001DC4" w14:paraId="76C2E810"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7FC9C26F"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Harappan Indus (~2800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7A35090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~5,000–40,000</w:t>
            </w:r>
          </w:p>
        </w:tc>
        <w:tc>
          <w:tcPr>
            <w:tcW w:w="1819" w:type="dxa"/>
            <w:tcBorders>
              <w:top w:val="single" w:sz="4" w:space="0" w:color="000000"/>
              <w:left w:val="single" w:sz="4" w:space="0" w:color="000000"/>
              <w:bottom w:val="single" w:sz="4" w:space="0" w:color="000000"/>
              <w:right w:val="single" w:sz="4" w:space="0" w:color="000000"/>
            </w:tcBorders>
            <w:vAlign w:val="center"/>
          </w:tcPr>
          <w:p w14:paraId="5FA8DA6A"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Petrie et al. (2017)</w:t>
            </w:r>
          </w:p>
        </w:tc>
        <w:tc>
          <w:tcPr>
            <w:tcW w:w="1199" w:type="dxa"/>
            <w:tcBorders>
              <w:top w:val="single" w:sz="4" w:space="0" w:color="000000"/>
              <w:left w:val="single" w:sz="4" w:space="0" w:color="000000"/>
              <w:bottom w:val="single" w:sz="4" w:space="0" w:color="000000"/>
              <w:right w:val="single" w:sz="4" w:space="0" w:color="000000"/>
            </w:tcBorders>
            <w:vAlign w:val="center"/>
          </w:tcPr>
          <w:p w14:paraId="6BCFF23E"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Yes</w:t>
            </w:r>
          </w:p>
        </w:tc>
        <w:tc>
          <w:tcPr>
            <w:tcW w:w="1547" w:type="dxa"/>
            <w:tcBorders>
              <w:top w:val="single" w:sz="4" w:space="0" w:color="000000"/>
              <w:left w:val="single" w:sz="4" w:space="0" w:color="000000"/>
              <w:bottom w:val="single" w:sz="4" w:space="0" w:color="000000"/>
              <w:right w:val="single" w:sz="4" w:space="0" w:color="000000"/>
            </w:tcBorders>
            <w:vAlign w:val="center"/>
          </w:tcPr>
          <w:p w14:paraId="238D1748"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State ~2600 BCE</w:t>
            </w:r>
          </w:p>
        </w:tc>
      </w:tr>
      <w:tr w:rsidR="0023539C" w:rsidRPr="00001DC4" w14:paraId="43BA6FE2"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2E4DB5E2"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Longshan East Asia (~2500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7647738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~1,000–10,000</w:t>
            </w:r>
          </w:p>
        </w:tc>
        <w:tc>
          <w:tcPr>
            <w:tcW w:w="1819" w:type="dxa"/>
            <w:tcBorders>
              <w:top w:val="single" w:sz="4" w:space="0" w:color="000000"/>
              <w:left w:val="single" w:sz="4" w:space="0" w:color="000000"/>
              <w:bottom w:val="single" w:sz="4" w:space="0" w:color="000000"/>
              <w:right w:val="single" w:sz="4" w:space="0" w:color="000000"/>
            </w:tcBorders>
            <w:vAlign w:val="center"/>
          </w:tcPr>
          <w:p w14:paraId="2E289089"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Liu &amp; Chen (2021)</w:t>
            </w:r>
          </w:p>
        </w:tc>
        <w:tc>
          <w:tcPr>
            <w:tcW w:w="1199" w:type="dxa"/>
            <w:tcBorders>
              <w:top w:val="single" w:sz="4" w:space="0" w:color="000000"/>
              <w:left w:val="single" w:sz="4" w:space="0" w:color="000000"/>
              <w:bottom w:val="single" w:sz="4" w:space="0" w:color="000000"/>
              <w:right w:val="single" w:sz="4" w:space="0" w:color="000000"/>
            </w:tcBorders>
            <w:vAlign w:val="center"/>
          </w:tcPr>
          <w:p w14:paraId="653DA6F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Yes</w:t>
            </w:r>
          </w:p>
        </w:tc>
        <w:tc>
          <w:tcPr>
            <w:tcW w:w="1547" w:type="dxa"/>
            <w:tcBorders>
              <w:top w:val="single" w:sz="4" w:space="0" w:color="000000"/>
              <w:left w:val="single" w:sz="4" w:space="0" w:color="000000"/>
              <w:bottom w:val="single" w:sz="4" w:space="0" w:color="000000"/>
              <w:right w:val="single" w:sz="4" w:space="0" w:color="000000"/>
            </w:tcBorders>
            <w:vAlign w:val="center"/>
          </w:tcPr>
          <w:p w14:paraId="093B51B6"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State ~1600 BCE</w:t>
            </w:r>
          </w:p>
        </w:tc>
      </w:tr>
      <w:tr w:rsidR="0023539C" w:rsidRPr="00001DC4" w14:paraId="4767A03E"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626316DA"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Corded Ware Europe (~2500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0E709CAA"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~300–800</w:t>
            </w:r>
          </w:p>
        </w:tc>
        <w:tc>
          <w:tcPr>
            <w:tcW w:w="1819" w:type="dxa"/>
            <w:tcBorders>
              <w:top w:val="single" w:sz="4" w:space="0" w:color="000000"/>
              <w:left w:val="single" w:sz="4" w:space="0" w:color="000000"/>
              <w:bottom w:val="single" w:sz="4" w:space="0" w:color="000000"/>
              <w:right w:val="single" w:sz="4" w:space="0" w:color="000000"/>
            </w:tcBorders>
            <w:vAlign w:val="center"/>
          </w:tcPr>
          <w:p w14:paraId="1136D5B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Kristiansen (2017)</w:t>
            </w:r>
          </w:p>
        </w:tc>
        <w:tc>
          <w:tcPr>
            <w:tcW w:w="1199" w:type="dxa"/>
            <w:tcBorders>
              <w:top w:val="single" w:sz="4" w:space="0" w:color="000000"/>
              <w:left w:val="single" w:sz="4" w:space="0" w:color="000000"/>
              <w:bottom w:val="single" w:sz="4" w:space="0" w:color="000000"/>
              <w:right w:val="single" w:sz="4" w:space="0" w:color="000000"/>
            </w:tcBorders>
            <w:vAlign w:val="center"/>
          </w:tcPr>
          <w:p w14:paraId="7FB18A8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Partial</w:t>
            </w:r>
          </w:p>
        </w:tc>
        <w:tc>
          <w:tcPr>
            <w:tcW w:w="1547" w:type="dxa"/>
            <w:tcBorders>
              <w:top w:val="single" w:sz="4" w:space="0" w:color="000000"/>
              <w:left w:val="single" w:sz="4" w:space="0" w:color="000000"/>
              <w:bottom w:val="single" w:sz="4" w:space="0" w:color="000000"/>
              <w:right w:val="single" w:sz="4" w:space="0" w:color="000000"/>
            </w:tcBorders>
            <w:vAlign w:val="center"/>
          </w:tcPr>
          <w:p w14:paraId="591CF81F"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Delayed state ~800 BCE</w:t>
            </w:r>
          </w:p>
        </w:tc>
      </w:tr>
      <w:tr w:rsidR="0023539C" w:rsidRPr="00001DC4" w14:paraId="3367CCD5"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6D7B4256"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Late Neolithic Britain (~3000 BCE)</w:t>
            </w:r>
          </w:p>
        </w:tc>
        <w:tc>
          <w:tcPr>
            <w:tcW w:w="1825" w:type="dxa"/>
            <w:tcBorders>
              <w:top w:val="single" w:sz="4" w:space="0" w:color="000000"/>
              <w:left w:val="single" w:sz="4" w:space="0" w:color="000000"/>
              <w:bottom w:val="single" w:sz="4" w:space="0" w:color="000000"/>
              <w:right w:val="single" w:sz="4" w:space="0" w:color="000000"/>
            </w:tcBorders>
            <w:vAlign w:val="center"/>
          </w:tcPr>
          <w:p w14:paraId="2CACD8F3"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~200–600</w:t>
            </w:r>
          </w:p>
        </w:tc>
        <w:tc>
          <w:tcPr>
            <w:tcW w:w="1819" w:type="dxa"/>
            <w:tcBorders>
              <w:top w:val="single" w:sz="4" w:space="0" w:color="000000"/>
              <w:left w:val="single" w:sz="4" w:space="0" w:color="000000"/>
              <w:bottom w:val="single" w:sz="4" w:space="0" w:color="000000"/>
              <w:right w:val="single" w:sz="4" w:space="0" w:color="000000"/>
            </w:tcBorders>
            <w:vAlign w:val="center"/>
          </w:tcPr>
          <w:p w14:paraId="7E0BB7E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Scarre (2020)</w:t>
            </w:r>
          </w:p>
        </w:tc>
        <w:tc>
          <w:tcPr>
            <w:tcW w:w="1199" w:type="dxa"/>
            <w:tcBorders>
              <w:top w:val="single" w:sz="4" w:space="0" w:color="000000"/>
              <w:left w:val="single" w:sz="4" w:space="0" w:color="000000"/>
              <w:bottom w:val="single" w:sz="4" w:space="0" w:color="000000"/>
              <w:right w:val="single" w:sz="4" w:space="0" w:color="000000"/>
            </w:tcBorders>
            <w:vAlign w:val="center"/>
          </w:tcPr>
          <w:p w14:paraId="229BA3D1"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Partial</w:t>
            </w:r>
          </w:p>
        </w:tc>
        <w:tc>
          <w:tcPr>
            <w:tcW w:w="1547" w:type="dxa"/>
            <w:tcBorders>
              <w:top w:val="single" w:sz="4" w:space="0" w:color="000000"/>
              <w:left w:val="single" w:sz="4" w:space="0" w:color="000000"/>
              <w:bottom w:val="single" w:sz="4" w:space="0" w:color="000000"/>
              <w:right w:val="single" w:sz="4" w:space="0" w:color="000000"/>
            </w:tcBorders>
            <w:vAlign w:val="center"/>
          </w:tcPr>
          <w:p w14:paraId="47E83C8D"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Delayed state ~800 BCE</w:t>
            </w:r>
          </w:p>
        </w:tc>
      </w:tr>
      <w:tr w:rsidR="0023539C" w:rsidRPr="00001DC4" w14:paraId="334044B4"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3029D88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Aboriginal Australia (continuous)</w:t>
            </w:r>
          </w:p>
        </w:tc>
        <w:tc>
          <w:tcPr>
            <w:tcW w:w="1825" w:type="dxa"/>
            <w:tcBorders>
              <w:top w:val="single" w:sz="4" w:space="0" w:color="000000"/>
              <w:left w:val="single" w:sz="4" w:space="0" w:color="000000"/>
              <w:bottom w:val="single" w:sz="4" w:space="0" w:color="000000"/>
              <w:right w:val="single" w:sz="4" w:space="0" w:color="000000"/>
            </w:tcBorders>
            <w:vAlign w:val="center"/>
          </w:tcPr>
          <w:p w14:paraId="50648204"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~25–50 (band)</w:t>
            </w:r>
          </w:p>
        </w:tc>
        <w:tc>
          <w:tcPr>
            <w:tcW w:w="1819" w:type="dxa"/>
            <w:tcBorders>
              <w:top w:val="single" w:sz="4" w:space="0" w:color="000000"/>
              <w:left w:val="single" w:sz="4" w:space="0" w:color="000000"/>
              <w:bottom w:val="single" w:sz="4" w:space="0" w:color="000000"/>
              <w:right w:val="single" w:sz="4" w:space="0" w:color="000000"/>
            </w:tcBorders>
            <w:vAlign w:val="center"/>
          </w:tcPr>
          <w:p w14:paraId="3ADCBE8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Keen (2018)</w:t>
            </w:r>
          </w:p>
        </w:tc>
        <w:tc>
          <w:tcPr>
            <w:tcW w:w="1199" w:type="dxa"/>
            <w:tcBorders>
              <w:top w:val="single" w:sz="4" w:space="0" w:color="000000"/>
              <w:left w:val="single" w:sz="4" w:space="0" w:color="000000"/>
              <w:bottom w:val="single" w:sz="4" w:space="0" w:color="000000"/>
              <w:right w:val="single" w:sz="4" w:space="0" w:color="000000"/>
            </w:tcBorders>
            <w:vAlign w:val="center"/>
          </w:tcPr>
          <w:p w14:paraId="41860A2C"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w:t>
            </w:r>
          </w:p>
        </w:tc>
        <w:tc>
          <w:tcPr>
            <w:tcW w:w="1547" w:type="dxa"/>
            <w:tcBorders>
              <w:top w:val="single" w:sz="4" w:space="0" w:color="000000"/>
              <w:left w:val="single" w:sz="4" w:space="0" w:color="000000"/>
              <w:bottom w:val="single" w:sz="4" w:space="0" w:color="000000"/>
              <w:right w:val="single" w:sz="4" w:space="0" w:color="000000"/>
            </w:tcBorders>
            <w:vAlign w:val="center"/>
          </w:tcPr>
          <w:p w14:paraId="4E411E9D"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 state (persistent)</w:t>
            </w:r>
          </w:p>
        </w:tc>
      </w:tr>
      <w:tr w:rsidR="0023539C" w:rsidRPr="00001DC4" w14:paraId="47B62FA4"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439874CC"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Kalahari San (continuous)</w:t>
            </w:r>
          </w:p>
        </w:tc>
        <w:tc>
          <w:tcPr>
            <w:tcW w:w="1825" w:type="dxa"/>
            <w:tcBorders>
              <w:top w:val="single" w:sz="4" w:space="0" w:color="000000"/>
              <w:left w:val="single" w:sz="4" w:space="0" w:color="000000"/>
              <w:bottom w:val="single" w:sz="4" w:space="0" w:color="000000"/>
              <w:right w:val="single" w:sz="4" w:space="0" w:color="000000"/>
            </w:tcBorders>
            <w:vAlign w:val="center"/>
          </w:tcPr>
          <w:p w14:paraId="4AC593EB"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~30–150</w:t>
            </w:r>
          </w:p>
        </w:tc>
        <w:tc>
          <w:tcPr>
            <w:tcW w:w="1819" w:type="dxa"/>
            <w:tcBorders>
              <w:top w:val="single" w:sz="4" w:space="0" w:color="000000"/>
              <w:left w:val="single" w:sz="4" w:space="0" w:color="000000"/>
              <w:bottom w:val="single" w:sz="4" w:space="0" w:color="000000"/>
              <w:right w:val="single" w:sz="4" w:space="0" w:color="000000"/>
            </w:tcBorders>
            <w:vAlign w:val="center"/>
          </w:tcPr>
          <w:p w14:paraId="18C88819"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Wiessner (2016)</w:t>
            </w:r>
          </w:p>
        </w:tc>
        <w:tc>
          <w:tcPr>
            <w:tcW w:w="1199" w:type="dxa"/>
            <w:tcBorders>
              <w:top w:val="single" w:sz="4" w:space="0" w:color="000000"/>
              <w:left w:val="single" w:sz="4" w:space="0" w:color="000000"/>
              <w:bottom w:val="single" w:sz="4" w:space="0" w:color="000000"/>
              <w:right w:val="single" w:sz="4" w:space="0" w:color="000000"/>
            </w:tcBorders>
            <w:vAlign w:val="center"/>
          </w:tcPr>
          <w:p w14:paraId="6019E5DF"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w:t>
            </w:r>
          </w:p>
        </w:tc>
        <w:tc>
          <w:tcPr>
            <w:tcW w:w="1547" w:type="dxa"/>
            <w:tcBorders>
              <w:top w:val="single" w:sz="4" w:space="0" w:color="000000"/>
              <w:left w:val="single" w:sz="4" w:space="0" w:color="000000"/>
              <w:bottom w:val="single" w:sz="4" w:space="0" w:color="000000"/>
              <w:right w:val="single" w:sz="4" w:space="0" w:color="000000"/>
            </w:tcBorders>
            <w:vAlign w:val="center"/>
          </w:tcPr>
          <w:p w14:paraId="5C947E1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 state (persistent)</w:t>
            </w:r>
          </w:p>
        </w:tc>
      </w:tr>
      <w:tr w:rsidR="0023539C" w:rsidRPr="00001DC4" w14:paraId="5A386BD4" w14:textId="77777777">
        <w:trPr>
          <w:jc w:val="center"/>
        </w:trPr>
        <w:tc>
          <w:tcPr>
            <w:tcW w:w="2114" w:type="dxa"/>
            <w:tcBorders>
              <w:top w:val="single" w:sz="4" w:space="0" w:color="000000"/>
              <w:left w:val="single" w:sz="4" w:space="0" w:color="000000"/>
              <w:bottom w:val="single" w:sz="4" w:space="0" w:color="000000"/>
              <w:right w:val="single" w:sz="4" w:space="0" w:color="000000"/>
            </w:tcBorders>
            <w:vAlign w:val="center"/>
          </w:tcPr>
          <w:p w14:paraId="334E8703"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Pre-contact sub-Saharan groups</w:t>
            </w:r>
          </w:p>
        </w:tc>
        <w:tc>
          <w:tcPr>
            <w:tcW w:w="1825" w:type="dxa"/>
            <w:tcBorders>
              <w:top w:val="single" w:sz="4" w:space="0" w:color="000000"/>
              <w:left w:val="single" w:sz="4" w:space="0" w:color="000000"/>
              <w:bottom w:val="single" w:sz="4" w:space="0" w:color="000000"/>
              <w:right w:val="single" w:sz="4" w:space="0" w:color="000000"/>
            </w:tcBorders>
            <w:vAlign w:val="center"/>
          </w:tcPr>
          <w:p w14:paraId="669E4F29"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~100–400</w:t>
            </w:r>
          </w:p>
        </w:tc>
        <w:tc>
          <w:tcPr>
            <w:tcW w:w="1819" w:type="dxa"/>
            <w:tcBorders>
              <w:top w:val="single" w:sz="4" w:space="0" w:color="000000"/>
              <w:left w:val="single" w:sz="4" w:space="0" w:color="000000"/>
              <w:bottom w:val="single" w:sz="4" w:space="0" w:color="000000"/>
              <w:right w:val="single" w:sz="4" w:space="0" w:color="000000"/>
            </w:tcBorders>
            <w:vAlign w:val="center"/>
          </w:tcPr>
          <w:p w14:paraId="624FC643"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d'Errico &amp; Henshilwood (2021)</w:t>
            </w:r>
          </w:p>
        </w:tc>
        <w:tc>
          <w:tcPr>
            <w:tcW w:w="1199" w:type="dxa"/>
            <w:tcBorders>
              <w:top w:val="single" w:sz="4" w:space="0" w:color="000000"/>
              <w:left w:val="single" w:sz="4" w:space="0" w:color="000000"/>
              <w:bottom w:val="single" w:sz="4" w:space="0" w:color="000000"/>
              <w:right w:val="single" w:sz="4" w:space="0" w:color="000000"/>
            </w:tcBorders>
            <w:vAlign w:val="center"/>
          </w:tcPr>
          <w:p w14:paraId="2975E789"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No/Partial</w:t>
            </w:r>
          </w:p>
        </w:tc>
        <w:tc>
          <w:tcPr>
            <w:tcW w:w="1547" w:type="dxa"/>
            <w:tcBorders>
              <w:top w:val="single" w:sz="4" w:space="0" w:color="000000"/>
              <w:left w:val="single" w:sz="4" w:space="0" w:color="000000"/>
              <w:bottom w:val="single" w:sz="4" w:space="0" w:color="000000"/>
              <w:right w:val="single" w:sz="4" w:space="0" w:color="000000"/>
            </w:tcBorders>
            <w:vAlign w:val="center"/>
          </w:tcPr>
          <w:p w14:paraId="2B403B87" w14:textId="77777777" w:rsidR="0023539C" w:rsidRPr="00001DC4" w:rsidRDefault="0023539C" w:rsidP="00E02880">
            <w:pPr>
              <w:ind w:firstLine="0"/>
              <w:jc w:val="center"/>
              <w:rPr>
                <w:rFonts w:ascii="Times New Roman" w:hAnsi="Times New Roman" w:cs="Times New Roman"/>
                <w:sz w:val="20"/>
                <w:szCs w:val="20"/>
              </w:rPr>
            </w:pPr>
            <w:r>
              <w:rPr>
                <w:rFonts w:ascii="Times New Roman" w:hAnsi="Times New Roman" w:cs="Times New Roman"/>
                <w:sz w:val="20"/>
                <w:szCs w:val="20"/>
              </w:rPr>
              <w:t>No state in period</w:t>
            </w:r>
          </w:p>
        </w:tc>
      </w:tr>
    </w:tbl>
    <w:p w14:paraId="418D904A" w14:textId="77777777" w:rsidR="0023539C" w:rsidRPr="00E02880" w:rsidRDefault="0023539C" w:rsidP="00E02880">
      <w:pPr>
        <w:ind w:firstLine="0"/>
        <w:rPr>
          <w:rFonts w:ascii="Times New Roman" w:hAnsi="Times New Roman" w:cs="Times New Roman"/>
          <w:sz w:val="24"/>
          <w:szCs w:val="24"/>
        </w:rPr>
      </w:pPr>
      <w:r>
        <w:rPr>
          <w:rFonts w:ascii="Times New Roman" w:hAnsi="Times New Roman" w:cs="Times New Roman"/>
          <w:sz w:val="24"/>
          <w:szCs w:val="24"/>
        </w:rPr>
        <w:t>Note: Community size estimates are derived from settlement archaeology and demographic modeling in cited sources. “Effective community size” refers to the stable co-residential group, not peak ceremonial aggregation size. P7 threshold of ~500 individuals is a novel DSSM-derived theoretical prediction, not adopted from prior literature. It requires empirical calibration against settlement size data across additional case studies.</w:t>
      </w:r>
    </w:p>
    <w:p w14:paraId="705BAF7C" w14:textId="77777777" w:rsidR="00E02880" w:rsidRDefault="00E02880" w:rsidP="00E02880">
      <w:pPr>
        <w:keepNext/>
        <w:ind w:firstLine="0"/>
        <w:rPr>
          <w:rFonts w:ascii="Times New Roman" w:hAnsi="Times New Roman" w:cs="Times New Roman"/>
          <w:b/>
          <w:bCs/>
          <w:sz w:val="24"/>
          <w:szCs w:val="24"/>
        </w:rPr>
      </w:pPr>
    </w:p>
    <w:p w14:paraId="6EE52C6A" w14:textId="10D9032E" w:rsidR="0023539C" w:rsidRDefault="0023539C" w:rsidP="00E02880">
      <w:pPr>
        <w:keepNext/>
        <w:ind w:firstLine="0"/>
        <w:rPr>
          <w:rFonts w:ascii="Times New Roman" w:hAnsi="Times New Roman" w:cs="Times New Roman"/>
          <w:sz w:val="24"/>
          <w:szCs w:val="24"/>
        </w:rPr>
      </w:pPr>
      <w:r>
        <w:rPr>
          <w:rFonts w:ascii="Times New Roman" w:hAnsi="Times New Roman" w:cs="Times New Roman"/>
          <w:b/>
          <w:bCs/>
          <w:sz w:val="24"/>
          <w:szCs w:val="24"/>
        </w:rPr>
        <w:t>8. Conclusion</w:t>
      </w:r>
    </w:p>
    <w:p w14:paraId="68E5CDED"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This paper has presented the Deep Symbolic Systems Model as a cognitive-archaeological framework for understanding the emergence of early Egyptian civilization, and has argued that it constitutes a theoretically distinct contribution to the field on three simultaneous grounds: the specification of a falsifiable four-stage developmental sequence whose temporal ordering is derived from independent neuroscientific evidence; the construction of a neural timescale bridge that translates laboratory-demonstrated consolidation timescales into quantitative archaeological detection windows; and the introduction of a two-dimensional scoring instrument in which Evidence Strength and Symbolic Specificity are assessed independently and combined through a minimum rule that prevents either dimension from compensating for weakness in the other.</w:t>
      </w:r>
    </w:p>
    <w:p w14:paraId="5319DAD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Egyptian sequence, assessed through the 2D Field Companion Protocol across six periods from the Badarian to the Old Kingdom, produces a scoring trajectory of 4.5/12 to 12/12 that is the central empirical finding of this paper. This trajectory is not a post-hoc description of Egyptian exceptionalism; it is the measurable surface of a process already tens of millennia deep at the Badarian "starting point," and its gradual, non-punctuated character directly contradicts the cognitive revolution models and population-replacement accounts that a century of theoretical debate has failed to retire. The honest variance in 2D scores across the sequence — in particular the depressed Badarian score that reflects genuine preservation constraints and interpretive uncertainty rather than assumed symbolic poverty — is the evidence that the instrument is measuring something real rather than confirming assumptions built into its construction.</w:t>
      </w:r>
    </w:p>
    <w:p w14:paraId="21ED0023"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three negative cases — Sub-Saharan Africa, prehistoric Australia, and Late Neolithic Europe — are not anomalies to be explained away but theoretical assets. Each represents a distinct failure mode of the DSSM developmental sequence. Sub-Saharan Africa demonstrates that extraordinary Stage 1 and 2 symbolic richness does not automatically generate the connectivity and production conditions required for Stage 3 material amplification. Prehistoric Australia demonstrates that Stage 3 absence can be an actively maintained equilibrium rather than a failed aspiration: at the community sizes that Aboriginal social organization deliberately sustained, face-to-face embodied and ritualized transmission was fully sufficient to maintain symbolic fidelity, and no endogenous externalization pressure arose. Late Neolithic Europe demonstrates that partial Stage 3 completion produces delayed rather than absent institutional emergence — a quantitative prediction about the timing of state formation not produced by the environmental, surplus, or administrative accounts reviewed in Section 5.4. Taken together, these three cases confirm that DSSM is a framework whose scope conditions are explicit, whose failure modes are distinguishable, and whose predictions about non-events are as specific as its predictions about events.</w:t>
      </w:r>
    </w:p>
    <w:p w14:paraId="1C2B01A1"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Transmission Fidelity Model of Stage 3 crossing, developed in Section 2.7, closes the most consequential theoretical gap in prior DSSM presentations by deriving a novel community size threshold of approximately 500 individuals as the point at which face-to-face symbolic transmission becomes structurally insufficient and externalization pressure arises. Prediction P7, the most recently derived of the model's seven falsifiable claims, receives preliminary support from the community size data across all eight comparison societies examined here, but requires calibration against primary settlement area analysis across a broader comparative sample before its evidential weight can be assessed definitively.</w:t>
      </w:r>
    </w:p>
    <w:p w14:paraId="38EA38D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Five limitations bound the claims advanced here and define the empirical agenda. The neural timescale detection windows are estimates derived from laboratory timescales and cultural transmission theory rather than direct archaeological measurements. The negative case FCP scores for prehistoric Australia rely partially on ethnographic sources, introducing a methodological asymmetry with the purely archaeological positive cases. The CV values and per-observable scores reported for the Egyptian sequence are preliminary estimates from published assemblage reports rather than validated primary morphometric re-analysis; their numerical precision represents falsifiable predictions, not measured findings. The community size estimates underlying the P7 evaluation are derived from published demographic models rather than systematic primary settlement analysis. And the inter-rater reliability pilot provides only a minimum reliability floor from a single rater; full multi-rater validation is required before the FCP can function as a standardized comparative instrument. These limitations do not undermine the theoretical contributions of the paper, but they establish precisely the empirical priorities that the DSSM research agenda must address: systematic 2D FCP scoring across the full Naqada sequence, multi-rater IRR validation, development of ethnographic-archaeological interface protocols for negative case scoring, full FCP application to Norte Chico, agent-based modeling of cultural transmission dynamics and the P7 threshold, and collaborative cross-regional application of standardized FCP protocols.</w:t>
      </w:r>
    </w:p>
    <w:p w14:paraId="0C9317D4"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The three passed stress tests — symbolic continuity across the First Intermediate Period collapse, the Second Intermediate Period fragmentation, and the Ptolemaic dynastic transition — provide independent confirmation of the model's central structural claim: that symbolic systems stabilized at Stage 3 and above through deep pre-state redundancy acquire an inertia independent of the political and administrative regimes that subsequently utilize them. Cleopatra VII governing through a symbolic architecture whose deep structure predates her dynasty by over two thousand years is not a curiosity of Ptolemaic cultural politics; it is a direct empirical implication of DSSM that surplus, administrative, and writing-origin accounts do not, as formulated, predict or address.</w:t>
      </w:r>
    </w:p>
    <w:p w14:paraId="0205C855" w14:textId="77777777" w:rsidR="0023539C" w:rsidRDefault="0023539C" w:rsidP="008A2B4C">
      <w:pPr>
        <w:rPr>
          <w:rFonts w:ascii="Times New Roman" w:hAnsi="Times New Roman" w:cs="Times New Roman"/>
          <w:sz w:val="24"/>
          <w:szCs w:val="24"/>
        </w:rPr>
      </w:pPr>
      <w:r>
        <w:rPr>
          <w:rFonts w:ascii="Times New Roman" w:hAnsi="Times New Roman" w:cs="Times New Roman"/>
          <w:sz w:val="24"/>
          <w:szCs w:val="24"/>
        </w:rPr>
        <w:t>Egypt, understood through the DSSM framework, is not a unique historical accident but an exceptionally well-documented instance of a universal human cognitive-cultural process whose stages, timescales, and material signatures are now, for the first time, specified with sufficient precision to be tested, challenged, and refined. The monumental ambition of the Old Kingdom — its axial orientation, its cosmological grammar, its capacity to mobilize tens of thousands of workers through symbolic authority accumulated across millennia rather than coercive administrative machinery invented by the state — is the late-stage material compression of symbolic load built up across the full Predynastic sequence. It is the archaeological trace of what human cognition does, given time, shared space, and the pressure of community sizes that outrun the reach of face-to-face transmission. The task now is to measure it rigorously enough to know when it fails.</w:t>
      </w:r>
    </w:p>
    <w:p w14:paraId="32E30DB7" w14:textId="77777777" w:rsidR="0023539C" w:rsidRDefault="0023539C" w:rsidP="008A2B4C">
      <w:pPr>
        <w:rPr>
          <w:rFonts w:ascii="Times New Roman" w:hAnsi="Times New Roman" w:cs="Times New Roman"/>
          <w:sz w:val="24"/>
          <w:szCs w:val="24"/>
        </w:rPr>
      </w:pPr>
    </w:p>
    <w:p w14:paraId="2245D7ED" w14:textId="77777777" w:rsidR="00E02880" w:rsidRDefault="00E02880" w:rsidP="00E02880">
      <w:pPr>
        <w:keepNext/>
        <w:ind w:firstLine="0"/>
        <w:rPr>
          <w:rFonts w:ascii="Times New Roman" w:hAnsi="Times New Roman" w:cs="Times New Roman"/>
          <w:b/>
          <w:bCs/>
          <w:sz w:val="26"/>
          <w:szCs w:val="26"/>
        </w:rPr>
      </w:pPr>
    </w:p>
    <w:p w14:paraId="089D7DD5" w14:textId="77777777" w:rsidR="00E02880" w:rsidRDefault="00E02880" w:rsidP="00E02880">
      <w:pPr>
        <w:keepNext/>
        <w:ind w:firstLine="0"/>
        <w:rPr>
          <w:rFonts w:ascii="Times New Roman" w:hAnsi="Times New Roman" w:cs="Times New Roman"/>
          <w:b/>
          <w:bCs/>
          <w:sz w:val="26"/>
          <w:szCs w:val="26"/>
        </w:rPr>
      </w:pPr>
    </w:p>
    <w:p w14:paraId="6617AA9B" w14:textId="77777777" w:rsidR="00E02880" w:rsidRDefault="00E02880" w:rsidP="00E02880">
      <w:pPr>
        <w:keepNext/>
        <w:ind w:firstLine="0"/>
        <w:rPr>
          <w:rFonts w:ascii="Times New Roman" w:hAnsi="Times New Roman" w:cs="Times New Roman"/>
          <w:b/>
          <w:bCs/>
          <w:sz w:val="26"/>
          <w:szCs w:val="26"/>
        </w:rPr>
      </w:pPr>
    </w:p>
    <w:p w14:paraId="4EDF408E" w14:textId="77777777" w:rsidR="00E02880" w:rsidRDefault="00E02880" w:rsidP="00E02880">
      <w:pPr>
        <w:keepNext/>
        <w:ind w:firstLine="0"/>
        <w:rPr>
          <w:rFonts w:ascii="Times New Roman" w:hAnsi="Times New Roman" w:cs="Times New Roman"/>
          <w:b/>
          <w:bCs/>
          <w:sz w:val="26"/>
          <w:szCs w:val="26"/>
        </w:rPr>
      </w:pPr>
    </w:p>
    <w:p w14:paraId="074E6023" w14:textId="77777777" w:rsidR="00E02880" w:rsidRDefault="00E02880" w:rsidP="00E02880">
      <w:pPr>
        <w:keepNext/>
        <w:ind w:firstLine="0"/>
        <w:rPr>
          <w:rFonts w:ascii="Times New Roman" w:hAnsi="Times New Roman" w:cs="Times New Roman"/>
          <w:b/>
          <w:bCs/>
          <w:sz w:val="26"/>
          <w:szCs w:val="26"/>
        </w:rPr>
      </w:pPr>
    </w:p>
    <w:p w14:paraId="51595138" w14:textId="77777777" w:rsidR="00E02880" w:rsidRDefault="00E02880" w:rsidP="00E02880">
      <w:pPr>
        <w:keepNext/>
        <w:ind w:firstLine="0"/>
        <w:rPr>
          <w:rFonts w:ascii="Times New Roman" w:hAnsi="Times New Roman" w:cs="Times New Roman"/>
          <w:b/>
          <w:bCs/>
          <w:sz w:val="26"/>
          <w:szCs w:val="26"/>
        </w:rPr>
      </w:pPr>
    </w:p>
    <w:p w14:paraId="562C8FEB" w14:textId="77777777" w:rsidR="00E02880" w:rsidRDefault="00E02880" w:rsidP="00E02880">
      <w:pPr>
        <w:keepNext/>
        <w:ind w:firstLine="0"/>
        <w:rPr>
          <w:rFonts w:ascii="Times New Roman" w:hAnsi="Times New Roman" w:cs="Times New Roman"/>
          <w:b/>
          <w:bCs/>
          <w:sz w:val="26"/>
          <w:szCs w:val="26"/>
        </w:rPr>
      </w:pPr>
    </w:p>
    <w:p w14:paraId="61EA6BE3" w14:textId="77777777" w:rsidR="00E02880" w:rsidRDefault="00E02880" w:rsidP="00E02880">
      <w:pPr>
        <w:keepNext/>
        <w:ind w:firstLine="0"/>
        <w:rPr>
          <w:rFonts w:ascii="Times New Roman" w:hAnsi="Times New Roman" w:cs="Times New Roman"/>
          <w:b/>
          <w:bCs/>
          <w:sz w:val="26"/>
          <w:szCs w:val="26"/>
        </w:rPr>
      </w:pPr>
    </w:p>
    <w:p w14:paraId="36DB2E1D" w14:textId="77777777" w:rsidR="00E02880" w:rsidRDefault="00E02880" w:rsidP="00E02880">
      <w:pPr>
        <w:keepNext/>
        <w:ind w:firstLine="0"/>
        <w:rPr>
          <w:rFonts w:ascii="Times New Roman" w:hAnsi="Times New Roman" w:cs="Times New Roman"/>
          <w:b/>
          <w:bCs/>
          <w:sz w:val="26"/>
          <w:szCs w:val="26"/>
        </w:rPr>
      </w:pPr>
    </w:p>
    <w:p w14:paraId="305B1900" w14:textId="77777777" w:rsidR="00E02880" w:rsidRDefault="00E02880" w:rsidP="00E02880">
      <w:pPr>
        <w:keepNext/>
        <w:ind w:firstLine="0"/>
        <w:rPr>
          <w:rFonts w:ascii="Times New Roman" w:hAnsi="Times New Roman" w:cs="Times New Roman"/>
          <w:b/>
          <w:bCs/>
          <w:sz w:val="26"/>
          <w:szCs w:val="26"/>
        </w:rPr>
      </w:pPr>
    </w:p>
    <w:p w14:paraId="34DBD8DE" w14:textId="77777777" w:rsidR="00E02880" w:rsidRDefault="00E02880" w:rsidP="00E02880">
      <w:pPr>
        <w:keepNext/>
        <w:ind w:firstLine="0"/>
        <w:rPr>
          <w:rFonts w:ascii="Times New Roman" w:hAnsi="Times New Roman" w:cs="Times New Roman"/>
          <w:b/>
          <w:bCs/>
          <w:sz w:val="26"/>
          <w:szCs w:val="26"/>
        </w:rPr>
      </w:pPr>
    </w:p>
    <w:p w14:paraId="496C1676" w14:textId="77777777" w:rsidR="00E02880" w:rsidRDefault="00E02880" w:rsidP="00E02880">
      <w:pPr>
        <w:keepNext/>
        <w:ind w:firstLine="0"/>
        <w:rPr>
          <w:rFonts w:ascii="Times New Roman" w:hAnsi="Times New Roman" w:cs="Times New Roman"/>
          <w:b/>
          <w:bCs/>
          <w:sz w:val="26"/>
          <w:szCs w:val="26"/>
        </w:rPr>
      </w:pPr>
    </w:p>
    <w:p w14:paraId="5C1A01F0" w14:textId="77777777" w:rsidR="00E02880" w:rsidRDefault="00E02880" w:rsidP="00E02880">
      <w:pPr>
        <w:keepNext/>
        <w:ind w:firstLine="0"/>
        <w:rPr>
          <w:rFonts w:ascii="Times New Roman" w:hAnsi="Times New Roman" w:cs="Times New Roman"/>
          <w:b/>
          <w:bCs/>
          <w:sz w:val="26"/>
          <w:szCs w:val="26"/>
        </w:rPr>
      </w:pPr>
    </w:p>
    <w:p w14:paraId="7FD1B35D" w14:textId="77777777" w:rsidR="00E02880" w:rsidRDefault="00E02880" w:rsidP="00E02880">
      <w:pPr>
        <w:keepNext/>
        <w:ind w:firstLine="0"/>
        <w:rPr>
          <w:rFonts w:ascii="Times New Roman" w:hAnsi="Times New Roman" w:cs="Times New Roman"/>
          <w:b/>
          <w:bCs/>
          <w:sz w:val="26"/>
          <w:szCs w:val="26"/>
        </w:rPr>
      </w:pPr>
    </w:p>
    <w:p w14:paraId="2B8D2D51" w14:textId="77777777" w:rsidR="00E02880" w:rsidRDefault="00E02880" w:rsidP="00E02880">
      <w:pPr>
        <w:keepNext/>
        <w:ind w:firstLine="0"/>
        <w:rPr>
          <w:rFonts w:ascii="Times New Roman" w:hAnsi="Times New Roman" w:cs="Times New Roman"/>
          <w:b/>
          <w:bCs/>
          <w:sz w:val="26"/>
          <w:szCs w:val="26"/>
        </w:rPr>
      </w:pPr>
    </w:p>
    <w:p w14:paraId="24E7819D" w14:textId="77777777" w:rsidR="00E02880" w:rsidRDefault="00E02880" w:rsidP="00E02880">
      <w:pPr>
        <w:keepNext/>
        <w:ind w:firstLine="0"/>
        <w:rPr>
          <w:rFonts w:ascii="Times New Roman" w:hAnsi="Times New Roman" w:cs="Times New Roman"/>
          <w:b/>
          <w:bCs/>
          <w:sz w:val="26"/>
          <w:szCs w:val="26"/>
        </w:rPr>
      </w:pPr>
    </w:p>
    <w:p w14:paraId="7E5386D0" w14:textId="77777777" w:rsidR="00E02880" w:rsidRDefault="00E02880" w:rsidP="00E02880">
      <w:pPr>
        <w:keepNext/>
        <w:ind w:firstLine="0"/>
        <w:rPr>
          <w:rFonts w:ascii="Times New Roman" w:hAnsi="Times New Roman" w:cs="Times New Roman"/>
          <w:b/>
          <w:bCs/>
          <w:sz w:val="26"/>
          <w:szCs w:val="26"/>
        </w:rPr>
      </w:pPr>
    </w:p>
    <w:p w14:paraId="5D649727" w14:textId="77777777" w:rsidR="00E02880" w:rsidRDefault="00E02880" w:rsidP="00E02880">
      <w:pPr>
        <w:keepNext/>
        <w:ind w:firstLine="0"/>
        <w:rPr>
          <w:rFonts w:ascii="Times New Roman" w:hAnsi="Times New Roman" w:cs="Times New Roman"/>
          <w:b/>
          <w:bCs/>
          <w:sz w:val="26"/>
          <w:szCs w:val="26"/>
        </w:rPr>
      </w:pPr>
    </w:p>
    <w:p w14:paraId="77B67786" w14:textId="77777777" w:rsidR="00E02880" w:rsidRDefault="00E02880" w:rsidP="00E02880">
      <w:pPr>
        <w:keepNext/>
        <w:ind w:firstLine="0"/>
        <w:rPr>
          <w:rFonts w:ascii="Times New Roman" w:hAnsi="Times New Roman" w:cs="Times New Roman"/>
          <w:b/>
          <w:bCs/>
          <w:sz w:val="26"/>
          <w:szCs w:val="26"/>
        </w:rPr>
      </w:pPr>
    </w:p>
    <w:p w14:paraId="5CD91C61" w14:textId="77777777" w:rsidR="00E02880" w:rsidRDefault="00E02880" w:rsidP="00E02880">
      <w:pPr>
        <w:keepNext/>
        <w:ind w:firstLine="0"/>
        <w:rPr>
          <w:rFonts w:ascii="Times New Roman" w:hAnsi="Times New Roman" w:cs="Times New Roman"/>
          <w:b/>
          <w:bCs/>
          <w:sz w:val="26"/>
          <w:szCs w:val="26"/>
        </w:rPr>
      </w:pPr>
    </w:p>
    <w:p w14:paraId="1D6F6F0C" w14:textId="77777777" w:rsidR="00E02880" w:rsidRDefault="00E02880" w:rsidP="00E02880">
      <w:pPr>
        <w:keepNext/>
        <w:ind w:firstLine="0"/>
        <w:rPr>
          <w:rFonts w:ascii="Times New Roman" w:hAnsi="Times New Roman" w:cs="Times New Roman"/>
          <w:b/>
          <w:bCs/>
          <w:sz w:val="26"/>
          <w:szCs w:val="26"/>
        </w:rPr>
      </w:pPr>
    </w:p>
    <w:p w14:paraId="4909C9EC" w14:textId="77777777" w:rsidR="00E02880" w:rsidRDefault="00E02880" w:rsidP="00E02880">
      <w:pPr>
        <w:keepNext/>
        <w:ind w:firstLine="0"/>
        <w:rPr>
          <w:rFonts w:ascii="Times New Roman" w:hAnsi="Times New Roman" w:cs="Times New Roman"/>
          <w:b/>
          <w:bCs/>
          <w:sz w:val="26"/>
          <w:szCs w:val="26"/>
        </w:rPr>
      </w:pPr>
    </w:p>
    <w:p w14:paraId="2D65FF42" w14:textId="77777777" w:rsidR="00E02880" w:rsidRDefault="00E02880" w:rsidP="00E02880">
      <w:pPr>
        <w:keepNext/>
        <w:ind w:firstLine="0"/>
        <w:rPr>
          <w:rFonts w:ascii="Times New Roman" w:hAnsi="Times New Roman" w:cs="Times New Roman"/>
          <w:b/>
          <w:bCs/>
          <w:sz w:val="26"/>
          <w:szCs w:val="26"/>
        </w:rPr>
      </w:pPr>
    </w:p>
    <w:p w14:paraId="00F85B9A" w14:textId="77777777" w:rsidR="00E02880" w:rsidRDefault="00E02880" w:rsidP="00E02880">
      <w:pPr>
        <w:keepNext/>
        <w:ind w:firstLine="0"/>
        <w:rPr>
          <w:rFonts w:ascii="Times New Roman" w:hAnsi="Times New Roman" w:cs="Times New Roman"/>
          <w:b/>
          <w:bCs/>
          <w:sz w:val="26"/>
          <w:szCs w:val="26"/>
        </w:rPr>
      </w:pPr>
    </w:p>
    <w:p w14:paraId="46F7BFE3" w14:textId="77777777" w:rsidR="00E02880" w:rsidRDefault="00E02880" w:rsidP="00E02880">
      <w:pPr>
        <w:keepNext/>
        <w:ind w:firstLine="0"/>
        <w:rPr>
          <w:rFonts w:ascii="Times New Roman" w:hAnsi="Times New Roman" w:cs="Times New Roman"/>
          <w:b/>
          <w:bCs/>
          <w:sz w:val="26"/>
          <w:szCs w:val="26"/>
        </w:rPr>
      </w:pPr>
    </w:p>
    <w:p w14:paraId="0FC3B438" w14:textId="77777777" w:rsidR="00E02880" w:rsidRDefault="00E02880" w:rsidP="00E02880">
      <w:pPr>
        <w:keepNext/>
        <w:ind w:firstLine="0"/>
        <w:rPr>
          <w:rFonts w:ascii="Times New Roman" w:hAnsi="Times New Roman" w:cs="Times New Roman"/>
          <w:b/>
          <w:bCs/>
          <w:sz w:val="26"/>
          <w:szCs w:val="26"/>
        </w:rPr>
      </w:pPr>
    </w:p>
    <w:p w14:paraId="3F4710DF" w14:textId="77777777" w:rsidR="00E02880" w:rsidRDefault="00E02880" w:rsidP="00E02880">
      <w:pPr>
        <w:keepNext/>
        <w:ind w:firstLine="0"/>
        <w:rPr>
          <w:rFonts w:ascii="Times New Roman" w:hAnsi="Times New Roman" w:cs="Times New Roman"/>
          <w:b/>
          <w:bCs/>
          <w:sz w:val="26"/>
          <w:szCs w:val="26"/>
        </w:rPr>
      </w:pPr>
    </w:p>
    <w:p w14:paraId="6CE3D58F" w14:textId="77777777" w:rsidR="00E02880" w:rsidRDefault="00E02880" w:rsidP="00E02880">
      <w:pPr>
        <w:keepNext/>
        <w:ind w:firstLine="0"/>
        <w:rPr>
          <w:rFonts w:ascii="Times New Roman" w:hAnsi="Times New Roman" w:cs="Times New Roman"/>
          <w:b/>
          <w:bCs/>
          <w:sz w:val="26"/>
          <w:szCs w:val="26"/>
        </w:rPr>
      </w:pPr>
    </w:p>
    <w:p w14:paraId="2C4ED37E" w14:textId="77777777" w:rsidR="00E02880" w:rsidRDefault="00E02880" w:rsidP="00E02880">
      <w:pPr>
        <w:keepNext/>
        <w:ind w:firstLine="0"/>
        <w:rPr>
          <w:rFonts w:ascii="Times New Roman" w:hAnsi="Times New Roman" w:cs="Times New Roman"/>
          <w:b/>
          <w:bCs/>
          <w:sz w:val="26"/>
          <w:szCs w:val="26"/>
        </w:rPr>
      </w:pPr>
    </w:p>
    <w:p w14:paraId="113DD38F" w14:textId="77777777" w:rsidR="00E02880" w:rsidRDefault="00E02880" w:rsidP="00E02880">
      <w:pPr>
        <w:keepNext/>
        <w:ind w:firstLine="0"/>
        <w:rPr>
          <w:rFonts w:ascii="Times New Roman" w:hAnsi="Times New Roman" w:cs="Times New Roman"/>
          <w:b/>
          <w:bCs/>
          <w:sz w:val="26"/>
          <w:szCs w:val="26"/>
        </w:rPr>
      </w:pPr>
    </w:p>
    <w:p w14:paraId="244D3D2A" w14:textId="77777777" w:rsidR="00E02880" w:rsidRDefault="00E02880" w:rsidP="00E02880">
      <w:pPr>
        <w:keepNext/>
        <w:ind w:firstLine="0"/>
        <w:rPr>
          <w:rFonts w:ascii="Times New Roman" w:hAnsi="Times New Roman" w:cs="Times New Roman"/>
          <w:b/>
          <w:bCs/>
          <w:sz w:val="26"/>
          <w:szCs w:val="26"/>
        </w:rPr>
      </w:pPr>
    </w:p>
    <w:p w14:paraId="51E62A1E" w14:textId="77777777" w:rsidR="00E02880" w:rsidRDefault="00E02880" w:rsidP="00E02880">
      <w:pPr>
        <w:keepNext/>
        <w:ind w:firstLine="0"/>
        <w:rPr>
          <w:rFonts w:ascii="Times New Roman" w:hAnsi="Times New Roman" w:cs="Times New Roman"/>
          <w:b/>
          <w:bCs/>
          <w:sz w:val="26"/>
          <w:szCs w:val="26"/>
        </w:rPr>
      </w:pPr>
    </w:p>
    <w:p w14:paraId="4B91FF19" w14:textId="42304C26" w:rsidR="0023539C" w:rsidRPr="000E43BE" w:rsidRDefault="008776B4" w:rsidP="00E02880">
      <w:pPr>
        <w:keepNext/>
        <w:ind w:firstLine="0"/>
        <w:rPr>
          <w:rFonts w:ascii="Times New Roman" w:hAnsi="Times New Roman" w:cs="Times New Roman"/>
          <w:sz w:val="26"/>
          <w:szCs w:val="26"/>
        </w:rPr>
      </w:pPr>
      <w:r>
        <w:rPr>
          <w:rFonts w:ascii="Times New Roman" w:hAnsi="Times New Roman" w:cs="Times New Roman"/>
          <w:b/>
          <w:bCs/>
          <w:sz w:val="26"/>
          <w:szCs w:val="26"/>
        </w:rPr>
        <w:t>Bibliography:</w:t>
      </w:r>
    </w:p>
    <w:p w14:paraId="3AF435DA" w14:textId="36780131" w:rsidR="0023539C"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Adams, Barbara. Predynastic Egypt. Princes Risborough: Shire Egyptology Press, 2019.</w:t>
      </w:r>
    </w:p>
    <w:p w14:paraId="45C2C8E2" w14:textId="3D60FFA4"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Akkermans, Peter, and Glenn Schwartz. The Archaeology of Syria: From Complex Hunter-Gatherers to Early Urban Societies. Cambridge: Cambridge University Press, 2003.</w:t>
      </w:r>
    </w:p>
    <w:p w14:paraId="5CA15407" w14:textId="7B9DB45D"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Bard, Kathryn. An Introduction to the Archaeology of Ancient Egypt. 2nd ed. Malden, MA: Wiley-Blackwell, 2015.</w:t>
      </w:r>
    </w:p>
    <w:p w14:paraId="0B859312" w14:textId="703E4DB4"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Bourdieu, Pierre. The Logic of Practice. Stanford: Stanford University Press, 1990.</w:t>
      </w:r>
    </w:p>
    <w:p w14:paraId="10814080" w14:textId="2722C414"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Bréhard, Stéphanie, and Jacqueline Bouchud. “Seasonal Patterning in Faunal Assemblages at Hierakonpolis HK29A.” Journal of Archaeological Science: Reports 27 (2019): 101–119.</w:t>
      </w:r>
    </w:p>
    <w:p w14:paraId="49941A5F" w14:textId="037628F6"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Brunton, Guy, and Gertrude Caton-Thompson. The Badarian Civilisation and Prehistoric Remains near Badari. London: British School of Archaeology in Egypt, 1928.</w:t>
      </w:r>
    </w:p>
    <w:p w14:paraId="51C4829E" w14:textId="06812B1F"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Brumfiel, Elizabeth, and Timothy Earle, eds. Specialization, Exchange, and Complex Societies. Cambridge: Cambridge University Press, 1987.</w:t>
      </w:r>
    </w:p>
    <w:p w14:paraId="7AD3D04B" w14:textId="70FD970A"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Bunbury, John, Alan Graham, and Mark Hunter. “Geoarchaeological Evidence for Landscape Change and the Origins of Ancient Egypt.” In Egypt at Its Origins, edited by Stan Hendrickx and Renée Friedman. Leuven: Peeters, 2017.</w:t>
      </w:r>
    </w:p>
    <w:p w14:paraId="2AEAD8D7" w14:textId="77991D86"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Burgess, Neil. “The 2014 Nobel Prize in Physiology or Medicine: Spatial Cells in the Brain.” Hippocampus 25, no. 7 (2014): 731–732.</w:t>
      </w:r>
    </w:p>
    <w:p w14:paraId="0E8D72DF" w14:textId="359CDB2D"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Butzer, Karl. Early Hydraulic Civilization in Egypt: A Study in Cultural Ecology. Chicago: University of Chicago Press, 1976.</w:t>
      </w:r>
    </w:p>
    <w:p w14:paraId="637C826B" w14:textId="03D9FA21"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Carneiro, Robert. “The Circumscription Theory: A Clarification, Amplification, and Reformulation.” Social Evolution &amp; History 11, no. 2 (2012): 5–30.</w:t>
      </w:r>
    </w:p>
    <w:p w14:paraId="3AA41F8F" w14:textId="75124283"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Carter, Robert, and Graham Philip, eds. Beyond the Ubaid: Transformation and Integration in the Late Prehistoric Societies of the Middle East. Chicago: Oriental Institute of the University of Chicago, 2019.</w:t>
      </w:r>
    </w:p>
    <w:p w14:paraId="455B7EE0" w14:textId="6E1A114C"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Childe, Vere Gordon. “The Urban Revolution.” Town Planning Review 21, no. 1 (1950): 3–17.</w:t>
      </w:r>
    </w:p>
    <w:p w14:paraId="621F2D9E" w14:textId="7D727414"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Clark, Andy. Supersizing the Mind: Embodiment, Action, and Cognitive Extension. Oxford: Oxford University Press, 2008.</w:t>
      </w:r>
    </w:p>
    <w:p w14:paraId="6125E2DC" w14:textId="3023C98B"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Connerton, Paul. How Societies Remember. Cambridge: Cambridge University Press, 1989.</w:t>
      </w:r>
    </w:p>
    <w:p w14:paraId="057CF14F" w14:textId="6A2798BA"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d’Errico, Francesco, and Christopher Henshilwood. “Additional Evidence for Bone Technology in the Southern African Middle Stone Age.” Journal of Human Evolution 52, no. 1 (2021): 142–163.</w:t>
      </w:r>
    </w:p>
    <w:p w14:paraId="25421FF2" w14:textId="100EFE96"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Donald, Merlin. Origins of the Modern Mind. Cambridge, MA: Harvard University Press, 1991.</w:t>
      </w:r>
    </w:p>
    <w:p w14:paraId="74D03BE3" w14:textId="7EAE09A6" w:rsidR="0023539C" w:rsidRPr="001B0BF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Dreyer, Günter. Umm el-Qaab I: Das prädynastische Königsgrab U-j und seine frühen Schriftzeugnisse. Mainz: Philipp von Zabern, 1998.</w:t>
      </w:r>
    </w:p>
    <w:p w14:paraId="73965D69" w14:textId="74A3BE70"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Dunbar, Robin. “Neocortex Size as a Constraint on Group Size in Primates.” Journal of Human Evolution 22, no. 6 (1992): 469–493.</w:t>
      </w:r>
    </w:p>
    <w:p w14:paraId="6A8A7F33" w14:textId="25517778"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Dunbar, Robin. “The Social Brain Hypothesis and Its Implications for Social Evolution.” Annals of Human Biology 36, no. 5 (2009): 562–572.</w:t>
      </w:r>
    </w:p>
    <w:p w14:paraId="28E5E997" w14:textId="165CA22E"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Eichenbaum, Howard. “Prefrontal–Hippocampal Interactions in Episodic Memory.” Nature Reviews Neuroscience 18, no. 9 (2017): 547–558.</w:t>
      </w:r>
    </w:p>
    <w:p w14:paraId="173F179B" w14:textId="1FC038BA"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Frachetti, Michael, C. E. Smith, C. M. Traub, and T. Williams. “Nomadic Ecology Shaped the Highland Geography of Asia’s Silk Roads.” Nature 543 (2017): 193–198.</w:t>
      </w:r>
    </w:p>
    <w:p w14:paraId="6A794F4D" w14:textId="767CD33A"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Friedman, Renée. “Hierakonpolis Locality HK29A: The Predynastic Ceremonial Center Revisited.” Journal of the American Research Center in Egypt 45 (2008): 79–103.</w:t>
      </w:r>
    </w:p>
    <w:p w14:paraId="2EB0142E" w14:textId="0E0EB56F"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Graybiel, Ann. “Habits, Rituals, and the Evaluative Brain.” Annual Review of Neuroscience 31 (2008): 359–387.</w:t>
      </w:r>
    </w:p>
    <w:p w14:paraId="3402F12B" w14:textId="4906C945" w:rsidR="0023539C" w:rsidRPr="009E41D3"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Hartung, Ulrich, Pierre Ballet, Andreas Effland, Peter French, Roland Hartmann, Thomas Hikade, Eva Christiana Köhler, Vera Müller, and Christine Römer-Strehl. “Tell el-Fara’in — Buto: 10th Report.” Mitteilungen des Deutschen Archäologischen Instituts Abteilung Kairo 68 (2015): 1–131.</w:t>
      </w:r>
    </w:p>
    <w:p w14:paraId="6FEACAE5" w14:textId="77777777"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Hassan, Fekri. “Radiocarbon Chronology of Neolithic and Predynastic Sites in Upper Egypt and the Delta.” African Archaeological Review 3 (1985): 95–116.</w:t>
      </w:r>
    </w:p>
    <w:p w14:paraId="1D76AFF3" w14:textId="1916EFE8"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Hassan, Fekri, Geoffrey Tassie, and Joanne Rowland. “Naqada: Cultural Diversity and Social Complexity.” In Encyclopedia of the Archaeology of Ancient Egypt, 2nd ed., edited by Kathryn Bard. London: Routledge, 2021.</w:t>
      </w:r>
    </w:p>
    <w:p w14:paraId="1B2FD114" w14:textId="4832B55D"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Hebb, Donald. The Organization of Behavior. New York: Wiley, 1949.</w:t>
      </w:r>
    </w:p>
    <w:p w14:paraId="1474A524" w14:textId="172EEC5C"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Hendrickx, Stan. “Sequence Dating and Predynastic Chronology.” In Before the Pyramids: The Origins of Egyptian Civilization, edited by Emily Teeter, 15–16. Chicago: Oriental Institute of the University of Chicago, 2011.</w:t>
      </w:r>
    </w:p>
    <w:p w14:paraId="59F00462" w14:textId="2AFB2B5F"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Hendrickx, Stan, and Dirk Huyge. “Palaeolithic and Predynastic Egypt.” In A Companion to Ancient Egypt, 2nd ed., edited by Willeke Wendrich, 37–68. Malden, MA: Wiley-Blackwell, 2020.</w:t>
      </w:r>
    </w:p>
    <w:p w14:paraId="67E5072E" w14:textId="699CE247"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Henrich, Joseph. The Secret of Our Success: How Culture Is Driving Human Evolution, Domesticating Our Species, and Making Us Smarter. Princeton: Princeton University Press, 2015.</w:t>
      </w:r>
    </w:p>
    <w:p w14:paraId="585158E9" w14:textId="7C675EDB" w:rsidR="0023539C" w:rsidRPr="00767488"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Henshilwood, Christopher, Francesco d’Errico, Karen van Niekerk, Yvan Coquinot, Zenobia Jacobs, Stein-Erik Lauritzen, Michel Menu, and Renata García-Moreno. “Emergence of Modern Human Behavior: Middle Stone Age Engravings from South Africa.” Science 295, no. 5558 (2002): 1278–1280.</w:t>
      </w:r>
    </w:p>
    <w:p w14:paraId="43CCBD62" w14:textId="21570379" w:rsidR="0023539C" w:rsidRPr="00727F5D"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Hobson, Nick, Juliana Schroeder, Jane Risen, Dimitris Xygalatas, and Michael Inzlicht. “The Psychology of Rituals.” Personality and Social Psychology Review 22, no. 3 (2018): 260–284.</w:t>
      </w:r>
    </w:p>
    <w:p w14:paraId="208A312B" w14:textId="5FA9B623" w:rsidR="0023539C" w:rsidRPr="000A167E"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Hodder, Ian. Entangled: An Archaeology of the Relationships between Humans and Things. Malden, MA: Wiley-Blackwell, 2012.</w:t>
      </w:r>
    </w:p>
    <w:p w14:paraId="708D0CEB" w14:textId="6CFE44A8" w:rsidR="0023539C" w:rsidRDefault="0023539C" w:rsidP="000E43BE">
      <w:pPr>
        <w:pStyle w:val="ListParagraph"/>
        <w:suppressAutoHyphens/>
        <w:ind w:left="420"/>
        <w:contextualSpacing w:val="0"/>
        <w:rPr>
          <w:rFonts w:ascii="Times New Roman" w:hAnsi="Times New Roman" w:cs="Times New Roman"/>
          <w:sz w:val="24"/>
          <w:szCs w:val="24"/>
        </w:rPr>
      </w:pPr>
      <w:r>
        <w:rPr>
          <w:rFonts w:ascii="Times New Roman" w:hAnsi="Times New Roman" w:cs="Times New Roman"/>
          <w:sz w:val="24"/>
          <w:szCs w:val="24"/>
        </w:rPr>
        <w:t xml:space="preserve">Hutchins, Edwin. Cognition in the Wild. Cambridge, MA: MIT Press, 1995.</w:t>
      </w:r>
    </w:p>
    <w:p w14:paraId="6E358C74"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Huyge, Dirk. “Qurta Revisited: Further Evidence of Pleistocene Rock Art in the Nile Valley.” Antiquity 85, no. 330 (2011): 1339–1348.</w:t>
      </w:r>
    </w:p>
    <w:p w14:paraId="7964A6C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Inomata, Takeshi, Jessica MacLellan, Daniela Triadan, Jessica Munson, Melissa Burham, Kazuo Aoyama, Hitoshi Haraguchi, Flory Pinzon, and Hiroo Yonenobu. “Origins and Spread of Formal Ceremonial Complexes.” Nature Human Behaviour 4 (2020): 1190–1201.</w:t>
      </w:r>
    </w:p>
    <w:p w14:paraId="255E121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Keen, Ian. Knowledge and Secrecy in an Aboriginal Religion. Oxford: Oxford University Press, 2018.</w:t>
      </w:r>
    </w:p>
    <w:p w14:paraId="0399043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Kemp, Barry. Ancient Egypt: Anatomy of a Civilization. 2nd ed. London: Routledge, 2006.</w:t>
      </w:r>
    </w:p>
    <w:p w14:paraId="20426A4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Kenoyer, Jonathan Mark. “Cultures and Societies of the Indus Tradition.” In Historical Roots in Early India, edited by Romila Thapar. New Delhi: National Book Trust, 2017.</w:t>
      </w:r>
    </w:p>
    <w:p w14:paraId="2EF4BCA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Knappett, Carl. “Cognition, Agency and Archaeology.” In Oxford Handbook of Archaeological Theory, edited by Andrew Gardner, Mark Lake, and Ulrike Sommer. Oxford: Oxford University Press, 2020.</w:t>
      </w:r>
    </w:p>
    <w:p w14:paraId="7DF7153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Köhler, Eva Christiana. “Theories of State Formation.” In Egyptian Archaeology, edited by Willeke Wendrich, 36–54. Malden, MA: Wiley-Blackwell, 2010.</w:t>
      </w:r>
    </w:p>
    <w:p w14:paraId="0AF67737"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Köhler, Eva Christiana. “State Formation and the Creation of Kingship in Early Egypt.” In Encyclopedia of the Archaeology of Ancient Egypt, 2nd ed., edited by Kathryn Bard. London: Routledge, 2021.</w:t>
      </w:r>
    </w:p>
    <w:p w14:paraId="2C483958"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Kristiansen, Kristian. “The Bronze Age Expansion of Indo-European Languages: An Archaeological Model.” In Archaeology and Language, edited by Carles Gamba et al., 165–181. London: Routledge, 2017.</w:t>
      </w:r>
    </w:p>
    <w:p w14:paraId="69CCBFE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Laland, Kevin, Tobias Uller, Marcus Feldman, Kim Sterelny, Gerd Müller, Armin Moczek, and John Odling-Smee. “The Extended Evolutionary Synthesis.” Proceedings of the Royal Society B 282, no. 1813 (2015): 20151019.</w:t>
      </w:r>
    </w:p>
    <w:p w14:paraId="6EEBFAE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lang w:val="nl-NL"/>
        </w:rPr>
        <w:t xml:space="preserve">Lazaridis, Iosif, Songul Alpaslan-Roodenberg, Aydin Acar, et al. “The Genetic History of the Southern Arc.” Science 377, no. 6609 (2022): eabm4247.</w:t>
      </w:r>
    </w:p>
    <w:p w14:paraId="6E0664C2"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Legare, Cristine, and André Souza. “Searching for Control.” Cognitive Science 38, no. 1 (2014): 152–161.</w:t>
      </w:r>
    </w:p>
    <w:p w14:paraId="065460B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Lehner, Mark, and Zahi Hawass. Giza and the Pyramids. Chicago: University of Chicago Press, 2017.</w:t>
      </w:r>
    </w:p>
    <w:p w14:paraId="29BB6A1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Liu, Li, and Xingcan Chen. The Archaeology of China. 2nd ed. Cambridge: Cambridge University Press, 2021.</w:t>
      </w:r>
    </w:p>
    <w:p w14:paraId="15E286A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Lycett, Stephen, and Parth Chauhan, eds. New Perspectives on Old Stones. New York: Springer, 2019.</w:t>
      </w:r>
    </w:p>
    <w:p w14:paraId="2E55277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Malafouris, Lambros. How Things Shape the Mind. Cambridge, MA: MIT Press, 2013.</w:t>
      </w:r>
    </w:p>
    <w:p w14:paraId="13D6BAF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Malafouris, Lambros. “Linear B as a Material Engagement.” Archeological Dialogues 22, no. 2 (2015): 113–141.</w:t>
      </w:r>
    </w:p>
    <w:p w14:paraId="2FCEA5CA"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Manning, Sturt. “Volatile and Variable but Not Always.” Journal of Egyptian History 11, nos. 1–2 (2018): 165–241.</w:t>
      </w:r>
    </w:p>
    <w:p w14:paraId="25BB01F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Merlan, Francesca. “Explorations towards Intercultural Understanding in Australia.” Journal of the Royal Anthropological Institute 26, no. 2 (2020): 225–242.</w:t>
      </w:r>
    </w:p>
    <w:p w14:paraId="124804F4"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Mesoudi, Alex. “Pursuing Darwin’s Curious Parallel: Prospects for a Science of Cultural Evolution.” Proceedings of the National Academy of Sciences 114, no. 30 (2017): 7853–7860.</w:t>
      </w:r>
    </w:p>
    <w:p w14:paraId="6FF2C766"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Midant-Reynes, Béatrix. The Prehistory of Egypt. Oxford: Blackwell, 2000.</w:t>
      </w:r>
    </w:p>
    <w:p w14:paraId="4FD88E3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Miller, Earl, and Jonathan Cohen. “An Integrative Theory of Prefrontal Cortex Function.” Annual Review of Neuroscience 24 (2001): 167–202.</w:t>
      </w:r>
    </w:p>
    <w:p w14:paraId="41D3A42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Mills, Barbara, Jeffrey Clark, Matthew Peeples, W. Randall Haas, John Roberts, John Hill, Deborah Huntley, et al. “Transformation of Social Networks in the Late Pre-Hispanic US Southwest.” PNAS 110, no. 15 (2015): 5785–5790.</w:t>
      </w:r>
    </w:p>
    <w:p w14:paraId="6F4C2D8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Mithen, Steven. The Prehistory of the Mind. London: Thames and Hudson, 1996.</w:t>
      </w:r>
    </w:p>
    <w:p w14:paraId="587C5077"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Moll, Henrik, and Michael Tomasello. “Cooperation and Human Cognition.” Philosophical Transactions of the Royal Society B 362, no. 1480 (2007): 639–648.</w:t>
      </w:r>
    </w:p>
    <w:p w14:paraId="3427C1C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Norenzayan, Ara, Azim Shariff, Will Gervais, Aiyana Willard, Rita McNamara, Edward Slingerland, and Joseph Henrich. “The Cultural Evolution of Prosocial Religions.” Behavioral and Brain Sciences 39 (2016): e1.</w:t>
      </w:r>
    </w:p>
    <w:p w14:paraId="7441628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Overmann, Karenleigh. “The Role of Materiality in Numerical Cognition.” Quaternary International 405 (2016): 42–51.</w:t>
      </w:r>
    </w:p>
    <w:p w14:paraId="0B6EC01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Parcak, Sarah. Satellite Remote Sensing for Archaeology. London: Routledge, 2017.</w:t>
      </w:r>
    </w:p>
    <w:p w14:paraId="32CB4E54"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Peasnall, Brian. The Ubaid World: Connectivity, Interaction, and Social Complexity. Washington, DC: SAA Press, 2020.</w:t>
      </w:r>
    </w:p>
    <w:p w14:paraId="3C88B38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Petrie, Cameron, Ravindra Singh, Jennifer Bates, Yama Dixit, Cameron French, David Hodell, Peter Jones, et al. “Adaptation to Variable Environments, Resilience to Climate Change in Indus Northwest India.” PLOS ONE 12, no. 11 (2017): e0188387.</w:t>
      </w:r>
    </w:p>
    <w:p w14:paraId="635CE33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Pino Uribe, Marco, Wim Van Neer, and Renée Friedman. “Ritual Fauna at Hierakonpolis HK6.” Journal of Archaeological Science 141 (2022): 105577.</w:t>
      </w:r>
    </w:p>
    <w:p w14:paraId="7D84A6C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Pollard, Mark, Peter Bray, Aurelie Cuénod, Chris Gosden, Christelle Hommet, Ruiliang Liu, Luca Perucchetti, John Pouncett, and Stephen Shennan. Beyond Provenance. Leiden: Sidestone Press, 2018.</w:t>
      </w:r>
    </w:p>
    <w:p w14:paraId="64FE907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Possehl, Gregory. The Indus Civilization: A Contemporary Perspective. Walnut Creek, CA: AltaMira Press, 2018.</w:t>
      </w:r>
    </w:p>
    <w:p w14:paraId="4A3FB19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Rappaport, Roy. Ritual and Religion in the Making of Humanity. Cambridge: Cambridge University Press, 1999.</w:t>
      </w:r>
    </w:p>
    <w:p w14:paraId="088D5A42"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Regulski, Ilona. A Palaeographic Study of Early Writing in Egypt. Leuven: Peeters, 2010.</w:t>
      </w:r>
    </w:p>
    <w:p w14:paraId="31CC4C6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Renfrew, Colin. “Megaliths, Territories and Populations.” In Acculturation and Continuity in Atlantic Europe, edited by Sigfried De Laet, 198–220. Bruges: De Tempel, 1976.</w:t>
      </w:r>
    </w:p>
    <w:p w14:paraId="059AD3C6"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Renfrew, Colin, Chris Frith, and Lambros Malafouris, eds. The Sapient Mind: Archaeology Meets Neuroscience. Oxford: Oxford University Press, 2018.</w:t>
      </w:r>
    </w:p>
    <w:p w14:paraId="1FBAFEB1"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Richerson, Peter, Ryan Baldini, Adrian Bell, Kathryn Demps, Karl Frost, Vicken Hillis, Sarah Mathew, et al. “Cultural Group Selection Plays an Essential Role in Explaining Human Cooperation.” Behavioral and Brain Sciences 39 (2016): e30.</w:t>
      </w:r>
    </w:p>
    <w:p w14:paraId="63C982C6"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Riemer, Harald. “Trans-Saharan Gold Trade in Pharaonic Times?” Quaternary International 466 (2017): 214–228.</w:t>
      </w:r>
    </w:p>
    <w:p w14:paraId="44AAC1C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Robb, John. “What Do Things Want?” Archaeological Papers of the American Anthropological Association 26, no. 1 (2015): 166–180.</w:t>
      </w:r>
    </w:p>
    <w:p w14:paraId="65D956BF"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lang w:val="nl-NL"/>
        </w:rPr>
      </w:pPr>
      <w:r>
        <w:rPr>
          <w:rFonts w:ascii="Times New Roman" w:hAnsi="Times New Roman" w:cs="Times New Roman"/>
          <w:sz w:val="24"/>
          <w:szCs w:val="24"/>
          <w:highlight w:val="yellow"/>
        </w:rPr>
        <w:t xml:space="preserve">Scarre, Chris. The Megalithic Monuments of Britain and Ireland. London: Thames &amp; Hudson, 2020.</w:t>
      </w:r>
    </w:p>
    <w:p w14:paraId="5DE1BA99"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lang w:val="nl-NL"/>
        </w:rPr>
        <w:t xml:space="preserve">Schuenemann, Verena, Alexander Peltzer, Birgit Welte, Wieteke van Pelt, Martyna Molak, Chuan-Chao Wang, Johannes Krause, et al. “Ancient Egyptian Mummy Genomes.” Nature Communications 8 (2017): 15694.</w:t>
      </w:r>
    </w:p>
    <w:p w14:paraId="37C057E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Shennan, Stephen. Quantifying Archaeology. 2nd ed. Edinburgh: Edinburgh University Press, 2015.</w:t>
      </w:r>
    </w:p>
    <w:p w14:paraId="68F9D87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Squire, Larry, and Adam Dede. “Conscious and Unconscious Memory Systems.” Cold Spring Harbor Perspectives in Biology 7, no. 3 (2015): a021667.</w:t>
      </w:r>
    </w:p>
    <w:p w14:paraId="53F338D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Stauder, Andréas. “Staging Restricted Knowledge.” In The Oxford Handbook of Egyptian Epigraphy and Palaeography, edited by Vanessa Davies and Dimitri Laboury. Oxford: Oxford University Press, 2018.</w:t>
      </w:r>
    </w:p>
    <w:p w14:paraId="34D916A8"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Stein, Gil. “Tell Zeidan: Development and Collapse of an Ubaid Society.” Backdirt (2017): 68–76.</w:t>
      </w:r>
    </w:p>
    <w:p w14:paraId="0746F07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Stevenson, Alice. “Predynastic Egypt.” In The Oxford Handbook of World Prehistory, edited by Colin Broodbank, 835–857. Oxford: Oxford University Press, 2016.</w:t>
      </w:r>
    </w:p>
    <w:p w14:paraId="4784D3D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Storemyr, Per. “Prehistoric Geometric Rock Art at Gharb Aswan, Upper Egypt.” Sahara 23 (2012): 67–76.</w:t>
      </w:r>
    </w:p>
    <w:p w14:paraId="4DC080B4"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Tavares, Ana. “The Old Kingdom State.” Journal of Egyptian Archaeology 104, no. 1 (2018): 125–147.</w:t>
      </w:r>
    </w:p>
    <w:p w14:paraId="6D1654C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Tomasello, Michael, Alicia Melis, Claudio Tennie, Emily Wyman, and Esther Herrmann. “Two Key Steps in the Evolution of Human Cooperation.” Current Anthropology 53, no. 6 (2019): 673–692.</w:t>
      </w:r>
    </w:p>
    <w:p w14:paraId="0CC02D6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Trigger, Bruce. Understanding Early Civilizations. Cambridge: Cambridge University Press, 2003.</w:t>
      </w:r>
    </w:p>
    <w:p w14:paraId="439A24FA"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Tristant, Yann, and Morgan De Dapper. “The Nile Valley during the Neolithic.” In Encyclopedia of the Archaeology of Ancient Egypt, edited by Kathryn Bard. London: Routledge, 2009.</w:t>
      </w:r>
    </w:p>
    <w:p w14:paraId="0B8967E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Van Neer, Wim, Veerle Linseele, and Renée Friedman. “Animal Burials and Food Offerings at the Elite Cemetery HK6 of Hierakonpolis.” In The Followers of Horus, edited by Renée Friedman and Barbara Adams, 232–248. Oxford: Oxbow Books, 2019.</w:t>
      </w:r>
    </w:p>
    <w:p w14:paraId="579CB39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Vondoom, Anthony. “The Deep Symbolic Systems Model (DSSM)—A Cognitive–Ritual Framework for Early Monumentality and Cultural Continuity.” OSF, 2025. https://doi.org/10.17605/OSF.IO/MRZFU.</w:t>
      </w:r>
    </w:p>
    <w:p w14:paraId="31A3A88A"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Vondoom, Anthony. “Neural Evolution and Symbolic Stabilization: A Neuro-Archaeological Foundation for DSSM.” Figshare, 2026a. https://doi.org/10.6084/m9.figshare.31077526.</w:t>
      </w:r>
    </w:p>
    <w:p w14:paraId="6E857E7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Vondoom, Anthony. “Deep Symbolic Stabilization Along the Tigris and Euphrates: A Mesopotamia-Based Case Study of the Deep Symbolic Systems Model (DSSM).” Figshare, 2026b. https://doi.org/10.6084/m9.figshare.31059385.</w:t>
      </w:r>
    </w:p>
    <w:p w14:paraId="6E857E71"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rPr>
      </w:pPr>
      <w:r>
        <w:rPr>
          <w:rFonts w:ascii="Times New Roman" w:hAnsi="Times New Roman" w:cs="Times New Roman"/>
          <w:sz w:val="24"/>
          <w:szCs w:val="24"/>
        </w:rPr>
        <w:t xml:space="preserve">Vondoom, Anthony. “Deep Symbolic Systems Model (DSSM): Field Companion — Operational Field Protocols for Detecting Symbolic Stabilization.” Figshare, 2026c. https://doi.org/10.6084/m9.figshare.31113958.</w:t>
      </w:r>
    </w:p>
    <w:p w14:paraId="1250736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Vondoom, Anthony. “Cognitive Preconditions for the Deep Symbolic Systems Model (DSSM).” OSF, 2026. https://doi.org/10.17605/OSF.IO/25AJW.</w:t>
      </w:r>
    </w:p>
    <w:p w14:paraId="3367A1F7"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Welc, Filip, and Leszek Marks. “Climate Change at the End of the Old Kingdom in Egypt around 4200 BP.” Quaternary International 324 (2014): 124–133.</w:t>
      </w:r>
    </w:p>
    <w:p w14:paraId="29BD440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Wendorf, Fred, and Romuald Schild. A Middle Stone Age Sequence from the Central Rift Valley, Ethiopia. Warsaw: Polska Akademia Nauk, 1974.</w:t>
      </w:r>
    </w:p>
    <w:p w14:paraId="5CE72BA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Wengrow, David. The Archaeology of Early Egypt. Cambridge: Cambridge University Press, 2006.</w:t>
      </w:r>
    </w:p>
    <w:p w14:paraId="2B81F26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Wengrow, David. What Makes Civilization. 2nd ed. Oxford: Oxford University Press, 2020.</w:t>
      </w:r>
    </w:p>
    <w:p w14:paraId="333DC36C"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Whitehouse, Harvey. Modes of Religiosity. Walnut Creek, CA: AltaMira Press, 2004.</w:t>
      </w:r>
    </w:p>
    <w:p w14:paraId="637EC3D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Whitehouse, Harvey, Pieter François, Pieter Savage, Thomas Currie, Kevin Feeney, Enrico Cioni, Rosalind Purcell, et al. “Complex Societies Precede Moralizing Gods throughout World History.” Nature 568 (2019): 226–229.</w:t>
      </w:r>
    </w:p>
    <w:p w14:paraId="112B5B5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Wiessner, Polly. “The Rift between Science and Humanism: What’s Data Got to Do with It?” Current Anthropology 57, no. S13 (2016): S154–S166.</w:t>
      </w:r>
    </w:p>
    <w:p w14:paraId="475B920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Wiessner, Polly, and Wulf Schiefenhovel, eds. Food and the Status Quest: An Interdisciplinary Perspective. New York: Berghahn Books, 1998.</w:t>
      </w:r>
    </w:p>
    <w:p w14:paraId="1EFD5788"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Wynn, Thomas, and Frederick Coolidge. “Archaeological Insights into the Evolution of Language and Cognition.” Psychonomic Bulletin &amp; Review 23, no. 1 (2016): 68–75.</w:t>
      </w:r>
    </w:p>
    <w:p w14:paraId="7813B918"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Yin, Henry, and Barbara Knowlton. “The Role of the Basal Ganglia in Habit Formation.” Nature Reviews Neuroscience 7 (2006): 464–476.</w:t>
      </w:r>
    </w:p>
    <w:p w14:paraId="27B0D2DE"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Yoffee, Norman. “The Power of Infrastructures.” Journal of Archaeological Method and Theory 22, no. 2 (2015): 327–345.</w:t>
      </w:r>
    </w:p>
    <w:p w14:paraId="45965FF2"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Zakrzewski, Sonia. “Population Continuity or Population Change: Formation of the Ancient Egyptian State.” American Journal of Physical Anthropology 132, no. 4 (2007): 501–509.</w:t>
      </w:r>
    </w:p>
    <w:p w14:paraId="34EBA3D3"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Creamer, Winifred, Jonathan Haas, and Alvaro Ruiz. “Archaeological Investigation of Late Archaic Sites (3000–1800 BC) in the Pativilca Valley, Peru.” Fieldiana Anthropology 40 (2007): 1–80.</w:t>
      </w:r>
    </w:p>
    <w:p w14:paraId="4EF8B87B"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Feil, Daryl. The Evolution of Highland Papua New Guinea Societies. Cambridge: Cambridge University Press, 1987.</w:t>
      </w:r>
    </w:p>
    <w:p w14:paraId="36CA36E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Haas, Jonathan, Winifred Creamer, and Alvaro Ruiz. “Dating the Late Archaic Occupation of the Norte Chico Region in Peru.” Nature 432 (2004): 1020–1023.</w:t>
      </w:r>
    </w:p>
    <w:p w14:paraId="06A9FFB0"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Hamilton, Marcus, Brian Milne, Robert Walker, Oskar Burger, and James Brown. “The Complex Structure of Hunter–Gatherer Social Networks.” Proceedings of the Royal Society B 274 (2007): 2195–2203.</w:t>
      </w:r>
    </w:p>
    <w:p w14:paraId="42C2B165"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Kelly, Robert. The Foraging Spectrum: Diversity in Hunter-Gatherer Lifeways. Washington, DC: Smithsonian Institution Press, 1993.</w:t>
      </w:r>
    </w:p>
    <w:p w14:paraId="421C3AD8"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Landis, John Richard, and Gary Koch. “The Measurement of Observer Agreement for Categorical Data.” Biometrics 33, no. 1 (1977): 159–174.</w:t>
      </w:r>
    </w:p>
    <w:p w14:paraId="500A516D"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Mann, Charles. 1491: New Revelations of the Americas before Columbus. New York: Knopf, 2005.</w:t>
      </w:r>
    </w:p>
    <w:p w14:paraId="36E29E16"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Shady Solís, Ruth, Jonathan Haas, and Winifred Creamer. “Dating Caral, a Preceramic Site in the Supe Valley on the Central Coast of Peru.” Science 292, no. 5517 (2001): 723–726.</w:t>
      </w:r>
    </w:p>
    <w:p w14:paraId="2ED78384" w14:textId="77777777" w:rsidR="0023539C" w:rsidRPr="00E6613F" w:rsidRDefault="0023539C" w:rsidP="00C4749F">
      <w:pPr>
        <w:pStyle w:val="ListParagraph"/>
        <w:numPr>
          <w:ilvl w:val="0"/>
          <w:numId w:val="6"/>
        </w:numPr>
        <w:suppressAutoHyphens/>
        <w:contextualSpacing w:val="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Strathern, Andrew. The Rope of Moka: Big-Men and Ceremonial Exchange in Mount Hagen, New Guinea. Cambridge: Cambridge University Press, 1971.</w:t>
      </w:r>
    </w:p>
    <w:p w14:paraId="1CDD2A69" w14:textId="77777777" w:rsidR="0023539C" w:rsidRDefault="0023539C" w:rsidP="00C4749F">
      <w:pPr>
        <w:pStyle w:val="ListParagraph"/>
        <w:numPr>
          <w:ilvl w:val="0"/>
          <w:numId w:val="6"/>
        </w:numPr>
        <w:suppressAutoHyphens/>
        <w:contextualSpacing w:val="0"/>
        <w:rPr>
          <w:rFonts w:ascii="Times New Roman" w:hAnsi="Times New Roman" w:cs="Times New Roman"/>
          <w:sz w:val="24"/>
          <w:szCs w:val="24"/>
        </w:rPr>
      </w:pPr>
      <w:r>
        <w:rPr>
          <w:rFonts w:ascii="Times New Roman" w:hAnsi="Times New Roman" w:cs="Times New Roman"/>
          <w:sz w:val="24"/>
          <w:szCs w:val="24"/>
          <w:highlight w:val="yellow"/>
        </w:rPr>
        <w:t xml:space="preserve">Wiessner, Polly, and Akii Tumu. Historical Vines: Enga Networks of Exchange, Ritual, and Warfare in Papua New Guinea. Washington, DC: Smithsonian Institution Press, 1998.</w:t>
      </w:r>
    </w:p>
    <w:p w14:paraId="6BB0AE3F" w14:textId="77777777" w:rsidR="0023539C" w:rsidRDefault="0023539C" w:rsidP="00C4749F">
      <w:pPr>
        <w:ind w:left="284"/>
        <w:rPr>
          <w:rFonts w:ascii="Times New Roman" w:hAnsi="Times New Roman" w:cs="Times New Roman"/>
          <w:sz w:val="24"/>
          <w:szCs w:val="24"/>
        </w:rPr>
      </w:pPr>
    </w:p>
    <w:p w14:paraId="74199840" w14:textId="77777777" w:rsidR="000E494A" w:rsidRDefault="000E494A" w:rsidP="00C4749F">
      <w:pPr>
        <w:bidi/>
        <w:rPr>
          <w:rFonts w:ascii="Times New Roman" w:eastAsia="Times New Roman" w:hAnsi="Times New Roman" w:cs="Times New Roman"/>
          <w:sz w:val="24"/>
          <w:szCs w:val="24"/>
          <w:lang w:bidi="ar-EG"/>
        </w:rPr>
      </w:pPr>
    </w:p>
    <w:p w14:paraId="14F2C8B6" w14:textId="77777777" w:rsidR="000E494A" w:rsidRDefault="000E494A" w:rsidP="00C4749F">
      <w:pPr>
        <w:rPr>
          <w:rFonts w:ascii="Times New Roman" w:eastAsia="Times New Roman" w:hAnsi="Times New Roman" w:cs="Times New Roman"/>
          <w:sz w:val="24"/>
          <w:szCs w:val="24"/>
        </w:rPr>
      </w:pPr>
    </w:p>
    <w:sectPr w:rsidR="000E494A" w:rsidSect="00F37CE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40" w:code="9"/>
      <w:pgMar w:top="1701" w:right="1701" w:bottom="1701" w:left="1701" w:header="720" w:footer="720" w:gutter="0"/>
      <w:pgNumType w:start="2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54A8" w14:textId="77777777" w:rsidR="00405C15" w:rsidRDefault="00405C15" w:rsidP="002F68A0">
      <w:pPr>
        <w:spacing w:after="0"/>
      </w:pPr>
      <w:r>
        <w:separator/>
      </w:r>
    </w:p>
  </w:endnote>
  <w:endnote w:type="continuationSeparator" w:id="0">
    <w:p w14:paraId="0A839DE9" w14:textId="77777777" w:rsidR="00405C15" w:rsidRDefault="00405C15" w:rsidP="002F68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1"/>
    <w:family w:val="auto"/>
    <w:pitch w:val="variable"/>
  </w:font>
  <w:font w:name="FreeSans">
    <w:altName w:val="Calibri"/>
    <w:panose1 w:val="020B0604020202020204"/>
    <w:charset w:val="01"/>
    <w:family w:val="auto"/>
    <w:pitch w:val="variable"/>
  </w:font>
  <w:font w:name="Simplified Arabic">
    <w:panose1 w:val="02020603050405020304"/>
    <w:charset w:val="00"/>
    <w:family w:val="roman"/>
    <w:pitch w:val="variable"/>
    <w:sig w:usb0="00002003" w:usb1="80000000" w:usb2="00000008" w:usb3="00000000" w:csb0="00000041" w:csb1="00000000"/>
  </w:font>
  <w:font w:name="Noto Serif CJK SC">
    <w:panose1 w:val="020B0604020202020204"/>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E379" w14:textId="77777777" w:rsidR="00852A00" w:rsidRPr="00433F2E" w:rsidRDefault="004737D5">
    <w:pPr>
      <w:pStyle w:val="Footer"/>
      <w:jc w:val="center"/>
      <w:rPr>
        <w:sz w:val="24"/>
        <w:szCs w:val="24"/>
      </w:rPr>
    </w:pPr>
    <w:r w:rsidRPr="00433F2E">
      <w:rPr>
        <w:rFonts w:ascii="Times New Roman" w:hAnsi="Times New Roman" w:cs="Times New Roman"/>
        <w:sz w:val="28"/>
        <w:szCs w:val="28"/>
      </w:rPr>
      <w:fldChar w:fldCharType="begin"/>
    </w:r>
    <w:r w:rsidR="00852A00" w:rsidRPr="00433F2E">
      <w:rPr>
        <w:rFonts w:ascii="Times New Roman" w:hAnsi="Times New Roman" w:cs="Times New Roman"/>
        <w:sz w:val="28"/>
        <w:szCs w:val="28"/>
      </w:rPr>
      <w:instrText xml:space="preserve"> PAGE   \* MERGEFORMAT </w:instrText>
    </w:r>
    <w:r w:rsidRPr="00433F2E">
      <w:rPr>
        <w:rFonts w:ascii="Times New Roman" w:hAnsi="Times New Roman" w:cs="Times New Roman"/>
        <w:sz w:val="28"/>
        <w:szCs w:val="28"/>
      </w:rPr>
      <w:fldChar w:fldCharType="separate"/>
    </w:r>
    <w:r w:rsidR="002B6D60">
      <w:rPr>
        <w:rFonts w:ascii="Times New Roman" w:hAnsi="Times New Roman" w:cs="Times New Roman"/>
        <w:noProof/>
        <w:sz w:val="28"/>
        <w:szCs w:val="28"/>
      </w:rPr>
      <w:t>2</w:t>
    </w:r>
    <w:r w:rsidRPr="00433F2E">
      <w:rPr>
        <w:rFonts w:ascii="Times New Roman" w:hAnsi="Times New Roman" w:cs="Times New Roman"/>
        <w:noProof/>
        <w:sz w:val="28"/>
        <w:szCs w:val="28"/>
      </w:rPr>
      <w:fldChar w:fldCharType="end"/>
    </w:r>
  </w:p>
  <w:p w14:paraId="5CAF5C77" w14:textId="77777777" w:rsidR="00852A00" w:rsidRDefault="0085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07A0" w14:textId="77777777" w:rsidR="006E13C0" w:rsidRDefault="004737D5">
    <w:pPr>
      <w:pStyle w:val="Footer"/>
      <w:jc w:val="center"/>
    </w:pPr>
    <w:r w:rsidRPr="00433F2E">
      <w:rPr>
        <w:rFonts w:ascii="Times New Roman" w:hAnsi="Times New Roman" w:cs="Times New Roman"/>
        <w:sz w:val="28"/>
        <w:szCs w:val="28"/>
      </w:rPr>
      <w:fldChar w:fldCharType="begin"/>
    </w:r>
    <w:r w:rsidR="006E13C0" w:rsidRPr="00433F2E">
      <w:rPr>
        <w:rFonts w:ascii="Times New Roman" w:hAnsi="Times New Roman" w:cs="Times New Roman"/>
        <w:sz w:val="28"/>
        <w:szCs w:val="28"/>
      </w:rPr>
      <w:instrText xml:space="preserve"> PAGE   \* MERGEFORMAT </w:instrText>
    </w:r>
    <w:r w:rsidRPr="00433F2E">
      <w:rPr>
        <w:rFonts w:ascii="Times New Roman" w:hAnsi="Times New Roman" w:cs="Times New Roman"/>
        <w:sz w:val="28"/>
        <w:szCs w:val="28"/>
      </w:rPr>
      <w:fldChar w:fldCharType="separate"/>
    </w:r>
    <w:r w:rsidR="006232A3">
      <w:rPr>
        <w:rFonts w:ascii="Times New Roman" w:hAnsi="Times New Roman" w:cs="Times New Roman"/>
        <w:noProof/>
        <w:sz w:val="28"/>
        <w:szCs w:val="28"/>
      </w:rPr>
      <w:t>3</w:t>
    </w:r>
    <w:r w:rsidRPr="00433F2E">
      <w:rPr>
        <w:rFonts w:ascii="Times New Roman" w:hAnsi="Times New Roman" w:cs="Times New Roman"/>
        <w:noProof/>
        <w:sz w:val="28"/>
        <w:szCs w:val="28"/>
      </w:rPr>
      <w:fldChar w:fldCharType="end"/>
    </w:r>
  </w:p>
  <w:p w14:paraId="0E987D2A" w14:textId="77777777" w:rsidR="006E13C0" w:rsidRDefault="006E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B725" w14:textId="09F748F0" w:rsidR="00953081" w:rsidRDefault="00953081">
    <w:pPr>
      <w:pStyle w:val="Footer"/>
      <w:jc w:val="center"/>
    </w:pPr>
  </w:p>
  <w:p w14:paraId="2B0C9875" w14:textId="77777777" w:rsidR="00953081" w:rsidRDefault="0095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E406" w14:textId="77777777" w:rsidR="00405C15" w:rsidRDefault="00405C15" w:rsidP="002F68A0">
      <w:pPr>
        <w:spacing w:after="0"/>
      </w:pPr>
      <w:r>
        <w:separator/>
      </w:r>
    </w:p>
  </w:footnote>
  <w:footnote w:type="continuationSeparator" w:id="0">
    <w:p w14:paraId="5690376D" w14:textId="77777777" w:rsidR="00405C15" w:rsidRDefault="00405C15" w:rsidP="002F68A0">
      <w:pPr>
        <w:spacing w:after="0"/>
      </w:pPr>
      <w:r>
        <w:continuationSeparator/>
      </w:r>
    </w:p>
  </w:footnote>
  <w:footnote w:id="1">
    <w:p w14:paraId="33B58DB5" w14:textId="779B9E81" w:rsidR="004A35BF" w:rsidRDefault="00000000" w:rsidP="00C73F13">
      <w:pPr>
        <w:pStyle w:val="FootnoteText"/>
        <w:ind w:firstLine="0"/>
      </w:pPr>
      <w:r>
        <w:rPr>
          <w:rStyle w:val="FootnoteReference"/>
        </w:rPr>
        <w:footnoteRef/>
      </w:r>
      <w:r>
        <w:t xml:space="preserve">Karl Butzer, </w:t>
      </w:r>
      <w:r>
        <w:rPr>
          <w:i/>
        </w:rPr>
        <w:t xml:space="preserve">Early Hydraulic Civilization in Egypt: A Study in Cultural Ecology</w:t>
      </w:r>
      <w:r>
        <w:t xml:space="preserve"> (Chicago: University of Chicago Press, 1976); John Bunbury, Alan Graham, and Mark Hunter, “Geoarchaeological Evidence for Landscape Change and the Origins of Ancient Egypt,” in </w:t>
      </w:r>
      <w:r>
        <w:rPr>
          <w:i/>
        </w:rPr>
        <w:t xml:space="preserve">Egypt at Its Origins</w:t>
      </w:r>
      <w:r>
        <w:t xml:space="preserve">, ed. Stan Hendrickx and Renée Friedman (Leuven: Peeters, 2017).</w:t>
      </w:r>
    </w:p>
  </w:footnote>
  <w:footnote w:id="2">
    <w:p w14:paraId="4CBA6BAE" w14:textId="77777777" w:rsidR="004A35BF" w:rsidRDefault="00000000" w:rsidP="00C73F13">
      <w:pPr>
        <w:pStyle w:val="FootnoteText"/>
        <w:ind w:firstLine="0"/>
      </w:pPr>
      <w:r>
        <w:rPr>
          <w:rStyle w:val="FootnoteReference"/>
        </w:rPr>
        <w:footnoteRef/>
      </w:r>
      <w:r>
        <w:t xml:space="preserve">Filip Welc and Leszek Marks, “Climate Change at the End of the Old Kingdom in Egypt around 4200 BP,” </w:t>
      </w:r>
      <w:r>
        <w:rPr>
          <w:i/>
        </w:rPr>
        <w:t xml:space="preserve">Quaternary International</w:t>
      </w:r>
      <w:r>
        <w:t xml:space="preserve"> 324 (2014): 124–133; Sturt Manning, “Volatile and Variable but Not Always,” </w:t>
      </w:r>
      <w:r>
        <w:rPr>
          <w:i/>
        </w:rPr>
        <w:t xml:space="preserve">Journal of Egyptian History</w:t>
      </w:r>
      <w:r>
        <w:t xml:space="preserve"> 11, nos. 1–2 (2018): 165–241.</w:t>
      </w:r>
    </w:p>
  </w:footnote>
  <w:footnote w:id="3">
    <w:p w14:paraId="1FCC98F8" w14:textId="77777777" w:rsidR="004A35BF" w:rsidRDefault="00000000" w:rsidP="00C73F13">
      <w:pPr>
        <w:pStyle w:val="FootnoteText"/>
        <w:ind w:firstLine="0"/>
      </w:pPr>
      <w:r>
        <w:rPr>
          <w:rStyle w:val="FootnoteReference"/>
        </w:rPr>
        <w:footnoteRef/>
      </w:r>
      <w:r>
        <w:t xml:space="preserve">Vere Gordon Childe, “The Urban Revolution,” </w:t>
      </w:r>
      <w:r>
        <w:rPr>
          <w:i/>
        </w:rPr>
        <w:t xml:space="preserve">Town Planning Review</w:t>
      </w:r>
      <w:r>
        <w:t xml:space="preserve"> 21, no. 1 (1950): 3–17; Bruce Trigger, </w:t>
      </w:r>
      <w:r>
        <w:rPr>
          <w:i/>
        </w:rPr>
        <w:t xml:space="preserve">Understanding Early Civilizations</w:t>
      </w:r>
      <w:r>
        <w:t xml:space="preserve"> (Cambridge: Cambridge University Press, 2003).</w:t>
      </w:r>
    </w:p>
  </w:footnote>
  <w:footnote w:id="4">
    <w:p w14:paraId="0B1500F0" w14:textId="77777777" w:rsidR="004A35BF" w:rsidRDefault="00000000" w:rsidP="00C73F13">
      <w:pPr>
        <w:pStyle w:val="FootnoteText"/>
        <w:ind w:firstLine="0"/>
      </w:pPr>
      <w:r>
        <w:rPr>
          <w:rStyle w:val="FootnoteReference"/>
        </w:rPr>
        <w:footnoteRef/>
      </w:r>
      <w:r>
        <w:t xml:space="preserve">Ulrich Hartung et al., “Tell el-Fara’in — Buto: 10th Report,” </w:t>
      </w:r>
      <w:r>
        <w:rPr>
          <w:i/>
        </w:rPr>
        <w:t xml:space="preserve">Mitteilungen des Deutschen Archäologischen Instituts Abteilung Kairo</w:t>
      </w:r>
      <w:r>
        <w:t xml:space="preserve"> 68 (2015): 1–131; Alice Stevenson, “Predynastic Egypt,” in </w:t>
      </w:r>
      <w:r>
        <w:rPr>
          <w:i/>
        </w:rPr>
        <w:t xml:space="preserve">The Oxford Handbook of World Prehistory</w:t>
      </w:r>
      <w:r>
        <w:t xml:space="preserve">, ed. Colin Broodbank (Oxford: Oxford University Press, 2016), 835–857.</w:t>
      </w:r>
    </w:p>
  </w:footnote>
  <w:footnote w:id="5">
    <w:p w14:paraId="31085BC3" w14:textId="77777777" w:rsidR="004A35BF" w:rsidRDefault="00000000" w:rsidP="00C73F13">
      <w:pPr>
        <w:pStyle w:val="FootnoteText"/>
        <w:ind w:firstLine="0"/>
      </w:pPr>
      <w:r>
        <w:rPr>
          <w:rStyle w:val="FootnoteReference"/>
        </w:rPr>
        <w:footnoteRef/>
      </w:r>
      <w:r>
        <w:t xml:space="preserve">Merlin Donald, </w:t>
      </w:r>
      <w:r>
        <w:rPr>
          <w:i/>
        </w:rPr>
        <w:t xml:space="preserve">Origins of the Modern Mind</w:t>
      </w:r>
      <w:r>
        <w:t xml:space="preserve"> (Cambridge, MA: Harvard University Press, 1991); Steven Mithen, </w:t>
      </w:r>
      <w:r>
        <w:rPr>
          <w:i/>
        </w:rPr>
        <w:t xml:space="preserve">The Prehistory of the Mind</w:t>
      </w:r>
      <w:r>
        <w:t xml:space="preserve"> (London: Thames and Hudson, 1996).</w:t>
      </w:r>
    </w:p>
  </w:footnote>
  <w:footnote w:id="6">
    <w:p w14:paraId="59A998E8" w14:textId="77777777" w:rsidR="004A35BF" w:rsidRDefault="00000000" w:rsidP="00C73F13">
      <w:pPr>
        <w:pStyle w:val="FootnoteText"/>
        <w:ind w:firstLine="0"/>
      </w:pPr>
      <w:r>
        <w:rPr>
          <w:rStyle w:val="FootnoteReference"/>
        </w:rPr>
        <w:footnoteRef/>
      </w:r>
      <w:r>
        <w:t xml:space="preserve">Verena Schuenemann et al., “Ancient Egyptian Mummy Genomes,” </w:t>
      </w:r>
      <w:r>
        <w:rPr>
          <w:i/>
        </w:rPr>
        <w:t xml:space="preserve">Nature Communications</w:t>
      </w:r>
      <w:r>
        <w:t xml:space="preserve"> 8 (2017): 15694; Iosif Lazaridis et al., “The Genetic History of the Southern Arc,” </w:t>
      </w:r>
      <w:r>
        <w:rPr>
          <w:i/>
        </w:rPr>
        <w:t>Science</w:t>
      </w:r>
      <w:r>
        <w:t xml:space="preserve"> 377, no. 6609 (2022): eabm4247.</w:t>
      </w:r>
    </w:p>
  </w:footnote>
  <w:footnote w:id="7">
    <w:p w14:paraId="781CBB92" w14:textId="77777777" w:rsidR="004A35BF" w:rsidRDefault="00000000" w:rsidP="00C73F13">
      <w:pPr>
        <w:pStyle w:val="FootnoteText"/>
        <w:ind w:firstLine="0"/>
      </w:pPr>
      <w:r>
        <w:rPr>
          <w:rStyle w:val="FootnoteReference"/>
        </w:rPr>
        <w:footnoteRef/>
      </w:r>
      <w:r>
        <w:t xml:space="preserve">Lambros Malafouris, “Linear B as a Material Engagement,” </w:t>
      </w:r>
      <w:r>
        <w:rPr>
          <w:i/>
        </w:rPr>
        <w:t xml:space="preserve">Archeological Dialogues</w:t>
      </w:r>
      <w:r>
        <w:t xml:space="preserve"> 22, no. 2 (2015): 113–141.</w:t>
      </w:r>
    </w:p>
  </w:footnote>
  <w:footnote w:id="8">
    <w:p w14:paraId="19882BE6" w14:textId="77777777" w:rsidR="004A35BF" w:rsidRDefault="00000000" w:rsidP="00C73F13">
      <w:pPr>
        <w:pStyle w:val="FootnoteText"/>
        <w:ind w:firstLine="0"/>
      </w:pPr>
      <w:r>
        <w:rPr>
          <w:rStyle w:val="FootnoteReference"/>
        </w:rPr>
        <w:footnoteRef/>
      </w:r>
      <w:r>
        <w:t xml:space="preserve">Edwin Hutchins, </w:t>
      </w:r>
      <w:r>
        <w:rPr>
          <w:i/>
        </w:rPr>
        <w:t xml:space="preserve">Cognition in the Wild</w:t>
      </w:r>
      <w:r>
        <w:t xml:space="preserve"> (Cambridge, MA: MIT Press, 1995).</w:t>
      </w:r>
    </w:p>
  </w:footnote>
  <w:footnote w:id="9">
    <w:p w14:paraId="4E7DDD22" w14:textId="77777777" w:rsidR="004A35BF" w:rsidRDefault="00000000" w:rsidP="00C73F13">
      <w:pPr>
        <w:pStyle w:val="FootnoteText"/>
        <w:ind w:firstLine="0"/>
      </w:pPr>
      <w:r>
        <w:rPr>
          <w:rStyle w:val="FootnoteReference"/>
        </w:rPr>
        <w:footnoteRef/>
      </w:r>
      <w:r>
        <w:t xml:space="preserve">Pierre Bourdieu, </w:t>
      </w:r>
      <w:r>
        <w:rPr>
          <w:i/>
        </w:rPr>
        <w:t xml:space="preserve">The Logic of Practice</w:t>
      </w:r>
      <w:r>
        <w:t xml:space="preserve"> (Stanford: Stanford University Press, 1990); John Robb, “What Do Things Want?” </w:t>
      </w:r>
      <w:r>
        <w:rPr>
          <w:i/>
        </w:rPr>
        <w:t xml:space="preserve">Archaeological Papers of the American Anthropological Association</w:t>
      </w:r>
      <w:r>
        <w:t xml:space="preserve"> 26, no. 1 (2015): 166–180.</w:t>
      </w:r>
    </w:p>
  </w:footnote>
  <w:footnote w:id="10">
    <w:p w14:paraId="6574603C" w14:textId="77777777" w:rsidR="004A35BF" w:rsidRDefault="00000000" w:rsidP="00C73F13">
      <w:pPr>
        <w:pStyle w:val="FootnoteText"/>
        <w:ind w:firstLine="0"/>
      </w:pPr>
      <w:r>
        <w:rPr>
          <w:rStyle w:val="FootnoteReference"/>
        </w:rPr>
        <w:footnoteRef/>
      </w:r>
      <w:r>
        <w:t xml:space="preserve">Harvey Whitehouse, </w:t>
      </w:r>
      <w:r>
        <w:rPr>
          <w:i/>
        </w:rPr>
        <w:t xml:space="preserve">Modes of Religiosity</w:t>
      </w:r>
      <w:r>
        <w:t xml:space="preserve"> (Walnut Creek, CA: AltaMira Press, 2004); Harvey Whitehouse et al., “Complex Societies Precede Moralizing Gods throughout World History,” </w:t>
      </w:r>
      <w:r>
        <w:rPr>
          <w:i/>
        </w:rPr>
        <w:t>Nature</w:t>
      </w:r>
      <w:r>
        <w:t xml:space="preserve"> 568 (2019): 226–229.</w:t>
      </w:r>
    </w:p>
  </w:footnote>
  <w:footnote w:id="11">
    <w:p w14:paraId="2FDE91C8" w14:textId="77777777" w:rsidR="004A35BF" w:rsidRDefault="00000000" w:rsidP="00C73F13">
      <w:pPr>
        <w:pStyle w:val="FootnoteText"/>
        <w:ind w:firstLine="0"/>
      </w:pPr>
      <w:r>
        <w:rPr>
          <w:rStyle w:val="FootnoteReference"/>
        </w:rPr>
        <w:footnoteRef/>
      </w:r>
      <w:r>
        <w:t xml:space="preserve">Kevin Laland et al., “The Extended Evolutionary Synthesis,” </w:t>
      </w:r>
      <w:r>
        <w:rPr>
          <w:i/>
        </w:rPr>
        <w:t xml:space="preserve">Proceedings of the Royal Society B</w:t>
      </w:r>
      <w:r>
        <w:t xml:space="preserve"> 282, no. 1813 (2015): 20151019.</w:t>
      </w:r>
    </w:p>
  </w:footnote>
  <w:footnote w:id="12">
    <w:p w14:paraId="6E45605E" w14:textId="77777777" w:rsidR="004A35BF" w:rsidRDefault="00000000" w:rsidP="00C73F13">
      <w:pPr>
        <w:pStyle w:val="FootnoteText"/>
        <w:ind w:firstLine="0"/>
      </w:pPr>
      <w:r>
        <w:rPr>
          <w:rStyle w:val="FootnoteReference"/>
        </w:rPr>
        <w:footnoteRef/>
      </w:r>
      <w:r>
        <w:rPr/>
        <w:t xml:space="preserve">Malafouris, “Linear B,” 113.</w:t>
      </w:r>
    </w:p>
  </w:footnote>
  <w:footnote w:id="13">
    <w:p w14:paraId="137DCC28" w14:textId="77777777" w:rsidR="004A35BF" w:rsidRDefault="00000000" w:rsidP="00C73F13">
      <w:pPr>
        <w:pStyle w:val="FootnoteText"/>
        <w:ind w:firstLine="0"/>
      </w:pPr>
      <w:r>
        <w:rPr>
          <w:rStyle w:val="FootnoteReference"/>
        </w:rPr>
        <w:footnoteRef/>
      </w:r>
      <w:r>
        <w:rPr/>
        <w:t xml:space="preserve">Hutchins, </w:t>
      </w:r>
      <w:r>
        <w:rPr>
          <w:i/>
        </w:rPr>
        <w:t xml:space="preserve">Cognition in the Wild</w:t>
      </w:r>
      <w:r>
        <w:rPr/>
        <w:t>.</w:t>
      </w:r>
    </w:p>
  </w:footnote>
  <w:footnote w:id="14">
    <w:p w14:paraId="16E980E5" w14:textId="77777777" w:rsidR="004A35BF" w:rsidRDefault="00000000" w:rsidP="00C73F13">
      <w:pPr>
        <w:pStyle w:val="FootnoteText"/>
        <w:ind w:firstLine="0"/>
      </w:pPr>
      <w:r>
        <w:rPr>
          <w:rStyle w:val="FootnoteReference"/>
        </w:rPr>
        <w:footnoteRef/>
      </w:r>
      <w:r>
        <w:rPr/>
        <w:t xml:space="preserve">Bourdieu, </w:t>
      </w:r>
      <w:r>
        <w:rPr>
          <w:i/>
        </w:rPr>
        <w:t xml:space="preserve">The Logic of Practice</w:t>
      </w:r>
      <w:r>
        <w:rPr/>
        <w:t>.</w:t>
      </w:r>
    </w:p>
  </w:footnote>
  <w:footnote w:id="15">
    <w:p w14:paraId="2B5E04E6" w14:textId="77777777" w:rsidR="004A35BF" w:rsidRDefault="00000000" w:rsidP="00C73F13">
      <w:pPr>
        <w:pStyle w:val="FootnoteText"/>
        <w:ind w:firstLine="0"/>
      </w:pPr>
      <w:r>
        <w:rPr>
          <w:rStyle w:val="FootnoteReference"/>
        </w:rPr>
        <w:footnoteRef/>
      </w:r>
      <w:r>
        <w:rPr/>
        <w:t xml:space="preserve">Whitehouse, </w:t>
      </w:r>
      <w:r>
        <w:rPr>
          <w:i/>
        </w:rPr>
        <w:t xml:space="preserve">Modes of Religiosity</w:t>
      </w:r>
      <w:r>
        <w:rPr/>
        <w:t>.</w:t>
      </w:r>
    </w:p>
  </w:footnote>
  <w:footnote w:id="16">
    <w:p w14:paraId="5BBC2B95" w14:textId="77777777" w:rsidR="004A35BF" w:rsidRDefault="00000000" w:rsidP="00C73F13">
      <w:pPr>
        <w:pStyle w:val="FootnoteText"/>
        <w:ind w:firstLine="0"/>
      </w:pPr>
      <w:r>
        <w:rPr>
          <w:rStyle w:val="FootnoteReference"/>
        </w:rPr>
        <w:footnoteRef/>
      </w:r>
      <w:r>
        <w:rPr/>
        <w:t xml:space="preserve">Laland et al., “The Extended Evolutionary Synthesis.”</w:t>
      </w:r>
    </w:p>
  </w:footnote>
  <w:footnote w:id="17">
    <w:p w14:paraId="6321F32A" w14:textId="77777777" w:rsidR="004A35BF" w:rsidRDefault="00000000" w:rsidP="00C73F13">
      <w:pPr>
        <w:pStyle w:val="FootnoteText"/>
        <w:ind w:firstLine="0"/>
      </w:pPr>
      <w:r>
        <w:rPr>
          <w:rStyle w:val="FootnoteReference"/>
        </w:rPr>
        <w:footnoteRef/>
      </w:r>
      <w:r>
        <w:t xml:space="preserve">Joseph Henrich, </w:t>
      </w:r>
      <w:r>
        <w:rPr>
          <w:i/>
        </w:rPr>
        <w:t xml:space="preserve">The Secret of Our Success: How Culture Is Driving Human Evolution, Domesticating Our Species, and Making Us Smarter</w:t>
      </w:r>
      <w:r>
        <w:t xml:space="preserve"> (Princeton: Princeton University Press, 2015); Peter Richerson et al., “Cultural Group Selection Plays an Essential Role in Explaining Human Cooperation,” </w:t>
      </w:r>
      <w:r>
        <w:rPr>
          <w:i/>
        </w:rPr>
        <w:t xml:space="preserve">Behavioral and Brain Sciences</w:t>
      </w:r>
      <w:r>
        <w:t xml:space="preserve"> 39 (2016): e30.</w:t>
      </w:r>
    </w:p>
  </w:footnote>
  <w:footnote w:id="18">
    <w:p w14:paraId="287F1941" w14:textId="77777777" w:rsidR="004A35BF" w:rsidRDefault="00000000" w:rsidP="00C73F13">
      <w:pPr>
        <w:pStyle w:val="FootnoteText"/>
        <w:ind w:firstLine="0"/>
      </w:pPr>
      <w:r>
        <w:rPr>
          <w:rStyle w:val="FootnoteReference"/>
        </w:rPr>
        <w:footnoteRef/>
      </w:r>
      <w:r>
        <w:t xml:space="preserve">Ann Graybiel, “Habits, Rituals, and the Evaluative Brain,” </w:t>
      </w:r>
      <w:r>
        <w:rPr>
          <w:i/>
        </w:rPr>
        <w:t xml:space="preserve">Annual Review of Neuroscience</w:t>
      </w:r>
      <w:r>
        <w:t xml:space="preserve"> 31 (2008): 359–387; Henry Yin and Barbara Knowlton, “The Role of the Basal Ganglia in Habit Formation,” </w:t>
      </w:r>
      <w:r>
        <w:rPr>
          <w:i/>
        </w:rPr>
        <w:t xml:space="preserve">Nature Reviews Neuroscience</w:t>
      </w:r>
      <w:r>
        <w:t xml:space="preserve"> 7 (2006): 464–476.</w:t>
      </w:r>
    </w:p>
  </w:footnote>
  <w:footnote w:id="19">
    <w:p w14:paraId="227BAC67" w14:textId="77777777" w:rsidR="004A35BF" w:rsidRDefault="00000000" w:rsidP="00C73F13">
      <w:pPr>
        <w:pStyle w:val="FootnoteText"/>
        <w:ind w:firstLine="0"/>
      </w:pPr>
      <w:r>
        <w:rPr>
          <w:rStyle w:val="FootnoteReference"/>
        </w:rPr>
        <w:footnoteRef/>
      </w:r>
      <w:r>
        <w:t xml:space="preserve">Neil Burgess, “The 2014 Nobel Prize in Physiology or Medicine: Spatial Cells in the Brain,” </w:t>
      </w:r>
      <w:r>
        <w:rPr>
          <w:i/>
        </w:rPr>
        <w:t>Hippocampus</w:t>
      </w:r>
      <w:r>
        <w:t xml:space="preserve"> 25, no. 7 (2014): 731–732; Howard Eichenbaum, “Prefrontal–Hippocampal Interactions in Episodic Memory,” </w:t>
      </w:r>
      <w:r>
        <w:rPr>
          <w:i/>
        </w:rPr>
        <w:t xml:space="preserve">Nature Reviews Neuroscience</w:t>
      </w:r>
      <w:r>
        <w:t xml:space="preserve"> 18, no. 9 (2017): 547–558.</w:t>
      </w:r>
    </w:p>
  </w:footnote>
  <w:footnote w:id="20">
    <w:p w14:paraId="366D2666" w14:textId="77777777" w:rsidR="004A35BF" w:rsidRDefault="00000000" w:rsidP="00C73F13">
      <w:pPr>
        <w:pStyle w:val="FootnoteText"/>
        <w:ind w:firstLine="0"/>
      </w:pPr>
      <w:r>
        <w:rPr>
          <w:rStyle w:val="FootnoteReference"/>
        </w:rPr>
        <w:footnoteRef/>
      </w:r>
      <w:r>
        <w:t xml:space="preserve">Earl Miller and Jonathan Cohen, “An Integrative Theory of Prefrontal Cortex Function,” </w:t>
      </w:r>
      <w:r>
        <w:rPr>
          <w:i/>
        </w:rPr>
        <w:t xml:space="preserve">Annual Review of Neuroscience</w:t>
      </w:r>
      <w:r>
        <w:t xml:space="preserve"> 24 (2001): 167–202.</w:t>
      </w:r>
    </w:p>
  </w:footnote>
  <w:footnote w:id="21">
    <w:p w14:paraId="7EAA3A8A" w14:textId="77777777" w:rsidR="004A35BF" w:rsidRDefault="00000000" w:rsidP="00C73F13">
      <w:pPr>
        <w:pStyle w:val="FootnoteText"/>
        <w:ind w:firstLine="0"/>
      </w:pPr>
      <w:r>
        <w:rPr>
          <w:rStyle w:val="FootnoteReference"/>
        </w:rPr>
        <w:footnoteRef/>
      </w:r>
      <w:r>
        <w:rPr/>
        <w:t xml:space="preserve">Bourdieu, </w:t>
      </w:r>
      <w:r>
        <w:rPr>
          <w:i/>
        </w:rPr>
        <w:t xml:space="preserve">The Logic of Practice</w:t>
      </w:r>
      <w:r>
        <w:rPr/>
        <w:t xml:space="preserve">; Robb, “What Do Things Want?”</w:t>
      </w:r>
    </w:p>
  </w:footnote>
  <w:footnote w:id="22">
    <w:p w14:paraId="0A583158" w14:textId="77777777" w:rsidR="004A35BF" w:rsidRDefault="00000000" w:rsidP="00C73F13">
      <w:pPr>
        <w:pStyle w:val="FootnoteText"/>
        <w:ind w:firstLine="0"/>
      </w:pPr>
      <w:r>
        <w:rPr>
          <w:rStyle w:val="FootnoteReference"/>
        </w:rPr>
        <w:footnoteRef/>
      </w:r>
      <w:r>
        <w:t xml:space="preserve">Roy Rappaport, </w:t>
      </w:r>
      <w:r>
        <w:rPr>
          <w:i/>
        </w:rPr>
        <w:t xml:space="preserve">Ritual and Religion in the Making of Humanity</w:t>
      </w:r>
      <w:r>
        <w:t xml:space="preserve"> (Cambridge: Cambridge University Press, 1999); Harvey Whitehouse, </w:t>
      </w:r>
      <w:r>
        <w:rPr>
          <w:i/>
        </w:rPr>
        <w:t xml:space="preserve">Modes of Religiosity</w:t>
      </w:r>
      <w:r>
        <w:t xml:space="preserve"> (Walnut Creek, CA: AltaMira Press, 2004).</w:t>
      </w:r>
    </w:p>
  </w:footnote>
  <w:footnote w:id="23">
    <w:p w14:paraId="733B2379" w14:textId="77777777" w:rsidR="004A35BF" w:rsidRDefault="00000000" w:rsidP="00C73F13">
      <w:pPr>
        <w:pStyle w:val="FootnoteText"/>
        <w:ind w:firstLine="0"/>
      </w:pPr>
      <w:r>
        <w:rPr>
          <w:rStyle w:val="FootnoteReference"/>
        </w:rPr>
        <w:footnoteRef/>
      </w:r>
      <w:r>
        <w:t xml:space="preserve">Nick Hobson et al., “The Psychology of Rituals,” </w:t>
      </w:r>
      <w:r>
        <w:rPr>
          <w:i/>
        </w:rPr>
        <w:t xml:space="preserve">Personality and Social Psychology Review</w:t>
      </w:r>
      <w:r>
        <w:t xml:space="preserve"> 22, no. 3 (2018): 260–284; Cristine Legare and André Souza, “Searching for Control,” </w:t>
      </w:r>
      <w:r>
        <w:rPr>
          <w:i/>
        </w:rPr>
        <w:t xml:space="preserve">Cognitive Science</w:t>
      </w:r>
      <w:r>
        <w:t xml:space="preserve"> 38, no. 1 (2014): 152–161.</w:t>
      </w:r>
    </w:p>
  </w:footnote>
  <w:footnote w:id="24">
    <w:p w14:paraId="3B39C4B4" w14:textId="77777777" w:rsidR="004A35BF" w:rsidRDefault="00000000" w:rsidP="00C73F13">
      <w:pPr>
        <w:pStyle w:val="FootnoteText"/>
        <w:ind w:firstLine="0"/>
      </w:pPr>
      <w:r>
        <w:rPr>
          <w:rStyle w:val="FootnoteReference"/>
        </w:rPr>
        <w:footnoteRef/>
      </w:r>
      <w:r>
        <w:rPr/>
        <w:t xml:space="preserve">Whitehouse, </w:t>
      </w:r>
      <w:r>
        <w:rPr>
          <w:i/>
        </w:rPr>
        <w:t xml:space="preserve">Modes of Religiosity</w:t>
      </w:r>
      <w:r>
        <w:rPr/>
        <w:t xml:space="preserve">; Whitehouse et al., “Complex Societies.”</w:t>
      </w:r>
    </w:p>
  </w:footnote>
  <w:footnote w:id="25">
    <w:p w14:paraId="2DC36078" w14:textId="77777777" w:rsidR="004A35BF" w:rsidRDefault="00000000" w:rsidP="00C73F13">
      <w:pPr>
        <w:pStyle w:val="FootnoteText"/>
        <w:ind w:firstLine="0"/>
      </w:pPr>
      <w:r>
        <w:rPr>
          <w:rStyle w:val="FootnoteReference"/>
        </w:rPr>
        <w:footnoteRef/>
      </w:r>
      <w:r>
        <w:t xml:space="preserve">Donald Hebb, </w:t>
      </w:r>
      <w:r>
        <w:rPr>
          <w:i/>
        </w:rPr>
        <w:t xml:space="preserve">The Organization of Behavior</w:t>
      </w:r>
      <w:r>
        <w:t xml:space="preserve"> (New York: Wiley, 1949).</w:t>
      </w:r>
    </w:p>
  </w:footnote>
  <w:footnote w:id="26">
    <w:p w14:paraId="79E9139E" w14:textId="77777777" w:rsidR="004A35BF" w:rsidRDefault="00000000" w:rsidP="00C73F13">
      <w:pPr>
        <w:pStyle w:val="FootnoteText"/>
        <w:ind w:firstLine="0"/>
      </w:pPr>
      <w:r>
        <w:rPr>
          <w:rStyle w:val="FootnoteReference"/>
        </w:rPr>
        <w:footnoteRef/>
      </w:r>
      <w:r>
        <w:rPr/>
        <w:t xml:space="preserve">Malafouris, “Linear B,” 113.</w:t>
      </w:r>
    </w:p>
  </w:footnote>
  <w:footnote w:id="27">
    <w:p w14:paraId="14957C7A" w14:textId="77777777" w:rsidR="004A35BF" w:rsidRDefault="00000000" w:rsidP="00C73F13">
      <w:pPr>
        <w:pStyle w:val="FootnoteText"/>
        <w:ind w:firstLine="0"/>
      </w:pPr>
      <w:r>
        <w:rPr>
          <w:rStyle w:val="FootnoteReference"/>
        </w:rPr>
        <w:footnoteRef/>
      </w:r>
      <w:r>
        <w:t xml:space="preserve">Andy Clark, </w:t>
      </w:r>
      <w:r>
        <w:rPr>
          <w:i/>
        </w:rPr>
        <w:t xml:space="preserve">Supersizing the Mind: Embodiment, Action, and Cognitive Extension</w:t>
      </w:r>
      <w:r>
        <w:t xml:space="preserve"> (Oxford: Oxford University Press, 2008); Edwin Hutchins, </w:t>
      </w:r>
      <w:r>
        <w:rPr>
          <w:i/>
        </w:rPr>
        <w:t xml:space="preserve">Cognition in the Wild</w:t>
      </w:r>
      <w:r>
        <w:t xml:space="preserve"> (Cambridge, MA: MIT Press, 1995); Karenleigh Overmann, “The Role of Materiality in Numerical Cognition,” </w:t>
      </w:r>
      <w:r>
        <w:rPr>
          <w:i/>
        </w:rPr>
        <w:t xml:space="preserve">Quaternary International</w:t>
      </w:r>
      <w:r>
        <w:t xml:space="preserve"> 405 (2016): 42–51.</w:t>
      </w:r>
    </w:p>
  </w:footnote>
  <w:footnote w:id="28">
    <w:p w14:paraId="388A1AC9" w14:textId="77777777" w:rsidR="004A35BF" w:rsidRDefault="00000000" w:rsidP="00C73F13">
      <w:pPr>
        <w:pStyle w:val="FootnoteText"/>
        <w:ind w:firstLine="0"/>
      </w:pPr>
      <w:r>
        <w:rPr>
          <w:rStyle w:val="FootnoteReference"/>
        </w:rPr>
        <w:footnoteRef/>
      </w:r>
      <w:r>
        <w:t xml:space="preserve">Michael Tomasello et al., “Two Key Steps in the Evolution of Human Cooperation,” </w:t>
      </w:r>
      <w:r>
        <w:rPr>
          <w:i/>
        </w:rPr>
        <w:t xml:space="preserve">Current Anthropology</w:t>
      </w:r>
      <w:r>
        <w:t xml:space="preserve"> 53, no. 6 (2019): 673–692; Henrik Moll and Michael Tomasello, “Cooperation and Human Cognition,” </w:t>
      </w:r>
      <w:r>
        <w:rPr>
          <w:i/>
        </w:rPr>
        <w:t xml:space="preserve">Philosophical Transactions of the Royal Society B</w:t>
      </w:r>
      <w:r>
        <w:t xml:space="preserve"> 362, no. 1480 (2007): 639–648.</w:t>
      </w:r>
    </w:p>
  </w:footnote>
  <w:footnote w:id="29">
    <w:p w14:paraId="7DCF46EE" w14:textId="77777777" w:rsidR="004A35BF" w:rsidRDefault="00000000" w:rsidP="00C73F13">
      <w:pPr>
        <w:pStyle w:val="FootnoteText"/>
        <w:ind w:firstLine="0"/>
      </w:pPr>
      <w:r>
        <w:rPr>
          <w:rStyle w:val="FootnoteReference"/>
        </w:rPr>
        <w:footnoteRef/>
      </w:r>
      <w:r>
        <w:t xml:space="preserve">Ara Norenzayan et al., “The Cultural Evolution of Prosocial Religions,” </w:t>
      </w:r>
      <w:r>
        <w:rPr>
          <w:i/>
        </w:rPr>
        <w:t xml:space="preserve">Behavioral and Brain Sciences</w:t>
      </w:r>
      <w:r>
        <w:t xml:space="preserve"> 39 (2016): e1.</w:t>
      </w:r>
    </w:p>
  </w:footnote>
  <w:footnote w:id="30">
    <w:p w14:paraId="4068B558" w14:textId="77777777" w:rsidR="004A35BF" w:rsidRDefault="00000000" w:rsidP="00C73F13">
      <w:pPr>
        <w:pStyle w:val="FootnoteText"/>
        <w:ind w:firstLine="0"/>
      </w:pPr>
      <w:r>
        <w:rPr>
          <w:rStyle w:val="FootnoteReference"/>
        </w:rPr>
        <w:footnoteRef/>
      </w:r>
      <w:r>
        <w:rPr/>
        <w:t xml:space="preserve">Henrich, </w:t>
      </w:r>
      <w:r>
        <w:rPr>
          <w:i/>
        </w:rPr>
        <w:t xml:space="preserve">The Secret of Our Success</w:t>
      </w:r>
      <w:r>
        <w:rPr/>
        <w:t xml:space="preserve">; Peter Richerson et al., “Cultural Group Selection Plays an Essential Role in Explaining Human Cooperation,” </w:t>
      </w:r>
      <w:r>
        <w:rPr>
          <w:i/>
        </w:rPr>
        <w:t xml:space="preserve">Behavioral and Brain Sciences</w:t>
      </w:r>
      <w:r>
        <w:rPr/>
        <w:t xml:space="preserve"> 39 (2016): e30.</w:t>
      </w:r>
    </w:p>
  </w:footnote>
  <w:footnote w:id="31">
    <w:p w14:paraId="04BE7407" w14:textId="77777777" w:rsidR="004A35BF" w:rsidRDefault="00000000" w:rsidP="00C73F13">
      <w:pPr>
        <w:pStyle w:val="FootnoteText"/>
        <w:ind w:firstLine="0"/>
      </w:pPr>
      <w:r>
        <w:rPr>
          <w:rStyle w:val="FootnoteReference"/>
        </w:rPr>
        <w:footnoteRef/>
      </w:r>
      <w:r>
        <w:t xml:space="preserve">Michael Frachetti et al., “Nomadic Ecology Shaped the Highland Geography of Asia’s Silk Roads,” </w:t>
      </w:r>
      <w:r>
        <w:rPr>
          <w:i/>
        </w:rPr>
        <w:t>Nature</w:t>
      </w:r>
      <w:r>
        <w:t xml:space="preserve"> 543 (2017): 193–198; Barbara Mills et al., “Transformation of Social Networks in the Late Pre-Hispanic US Southwest,” </w:t>
      </w:r>
      <w:r>
        <w:rPr>
          <w:i/>
        </w:rPr>
        <w:t>PNAS</w:t>
      </w:r>
      <w:r>
        <w:t xml:space="preserve"> 110, no. 15 (2015): 5785–5790.</w:t>
      </w:r>
    </w:p>
  </w:footnote>
  <w:footnote w:id="32">
    <w:p w14:paraId="15E9768F" w14:textId="77777777" w:rsidR="004A35BF" w:rsidRDefault="00000000" w:rsidP="00C73F13">
      <w:pPr>
        <w:pStyle w:val="FootnoteText"/>
        <w:ind w:firstLine="0"/>
      </w:pPr>
      <w:r>
        <w:rPr>
          <w:rStyle w:val="FootnoteReference"/>
        </w:rPr>
        <w:footnoteRef/>
      </w:r>
      <w:r>
        <w:t xml:space="preserve">Robin Dunbar, “The Social Brain Hypothesis and Its Implications for Social Evolution,” </w:t>
      </w:r>
      <w:r>
        <w:rPr>
          <w:i/>
        </w:rPr>
        <w:t xml:space="preserve">Annals of Human Biology</w:t>
      </w:r>
      <w:r>
        <w:t xml:space="preserve"> 36, no. 5 (2009): 562–572.</w:t>
      </w:r>
    </w:p>
  </w:footnote>
  <w:footnote w:id="33">
    <w:p w14:paraId="68EAE218" w14:textId="77777777" w:rsidR="004A35BF" w:rsidRDefault="00000000" w:rsidP="00C73F13">
      <w:pPr>
        <w:pStyle w:val="FootnoteText"/>
        <w:ind w:firstLine="0"/>
      </w:pPr>
      <w:r>
        <w:rPr>
          <w:rStyle w:val="FootnoteReference"/>
        </w:rPr>
        <w:footnoteRef/>
      </w:r>
      <w:r>
        <w:rPr/>
        <w:t xml:space="preserve">Henrich, </w:t>
      </w:r>
      <w:r>
        <w:rPr>
          <w:i/>
        </w:rPr>
        <w:t xml:space="preserve">The Secret of Our Success</w:t>
      </w:r>
      <w:r>
        <w:rPr/>
        <w:t xml:space="preserve">; Marcus Hamilton et al., “The Complex Structure of Hunter–Gatherer Social Networks,” </w:t>
      </w:r>
      <w:r>
        <w:rPr>
          <w:i/>
        </w:rPr>
        <w:t xml:space="preserve">Proceedings of the Royal Society B</w:t>
      </w:r>
      <w:r>
        <w:rPr/>
        <w:t xml:space="preserve"> 274 (2007): 2195–2203.</w:t>
      </w:r>
    </w:p>
  </w:footnote>
  <w:footnote w:id="34">
    <w:p w14:paraId="77E5361E" w14:textId="77777777" w:rsidR="004A35BF" w:rsidRDefault="00000000" w:rsidP="00C73F13">
      <w:pPr>
        <w:pStyle w:val="FootnoteText"/>
        <w:ind w:firstLine="0"/>
      </w:pPr>
      <w:r>
        <w:rPr>
          <w:rStyle w:val="FootnoteReference"/>
        </w:rPr>
        <w:footnoteRef/>
      </w:r>
      <w:r>
        <w:t xml:space="preserve">Alex Mesoudi, “Pursuing Darwin’s Curious Parallel: Prospects for a Science of Cultural Evolution,” </w:t>
      </w:r>
      <w:r>
        <w:rPr>
          <w:i/>
        </w:rPr>
        <w:t xml:space="preserve">Proceedings of the National Academy of Sciences</w:t>
      </w:r>
      <w:r>
        <w:t xml:space="preserve"> 114, no. 30 (2017): 7853–7860; Peter Richerson et al., “Cultural Group Selection Plays an Essential Role in Explaining Human Cooperation,” </w:t>
      </w:r>
      <w:r>
        <w:rPr>
          <w:i/>
        </w:rPr>
        <w:t xml:space="preserve">Behavioral and Brain Sciences</w:t>
      </w:r>
      <w:r>
        <w:t xml:space="preserve"> 39 (2016): e30.</w:t>
      </w:r>
    </w:p>
  </w:footnote>
  <w:footnote w:id="35">
    <w:p w14:paraId="0B02AAC2" w14:textId="77777777" w:rsidR="004A35BF" w:rsidRDefault="00000000" w:rsidP="00C73F13">
      <w:pPr>
        <w:pStyle w:val="FootnoteText"/>
        <w:ind w:firstLine="0"/>
      </w:pPr>
      <w:r>
        <w:rPr>
          <w:rStyle w:val="FootnoteReference"/>
        </w:rPr>
        <w:footnoteRef/>
      </w:r>
      <w:r>
        <w:rPr/>
        <w:t xml:space="preserve">Mesoudi, “Pursuing Darwin’s Curious Parallel.”</w:t>
      </w:r>
    </w:p>
  </w:footnote>
  <w:footnote w:id="36">
    <w:p w14:paraId="4F06AA13" w14:textId="77777777" w:rsidR="004A35BF" w:rsidRDefault="00000000" w:rsidP="00C73F13">
      <w:pPr>
        <w:pStyle w:val="FootnoteText"/>
        <w:ind w:firstLine="0"/>
      </w:pPr>
      <w:r>
        <w:rPr>
          <w:rStyle w:val="FootnoteReference"/>
        </w:rPr>
        <w:footnoteRef/>
      </w:r>
      <w:r>
        <w:t xml:space="preserve">Alice Stevenson, “Predynastic Egypt,” in </w:t>
      </w:r>
      <w:r>
        <w:rPr>
          <w:i/>
        </w:rPr>
        <w:t xml:space="preserve">The Oxford Handbook of World Prehistory</w:t>
      </w:r>
      <w:r>
        <w:t xml:space="preserve">, ed. Colin Broodbank (Oxford: Oxford University Press, 2016), 835–857; Stephen Lycett and Parth Chauhan, eds., </w:t>
      </w:r>
      <w:r>
        <w:rPr>
          <w:i/>
        </w:rPr>
        <w:t xml:space="preserve">New Perspectives on Old Stones</w:t>
      </w:r>
      <w:r>
        <w:t xml:space="preserve"> (New York: Springer, 2019).</w:t>
      </w:r>
    </w:p>
  </w:footnote>
  <w:footnote w:id="37">
    <w:p w14:paraId="2A3388AE" w14:textId="77777777" w:rsidR="004A35BF" w:rsidRDefault="00000000" w:rsidP="00C73F13">
      <w:pPr>
        <w:pStyle w:val="FootnoteText"/>
        <w:ind w:firstLine="0"/>
      </w:pPr>
      <w:r>
        <w:rPr>
          <w:rStyle w:val="FootnoteReference"/>
        </w:rPr>
        <w:footnoteRef/>
      </w:r>
      <w:r>
        <w:t xml:space="preserve">Anthony Vondoom, “Deep Symbolic Systems Model (DSSM): Field Companion — Operational Field Protocols for Detecting Symbolic Stabilization,” Figshare, 2026c, https://doi.org/10.6084/m9.figshare.31113958.</w:t>
      </w:r>
    </w:p>
  </w:footnote>
  <w:footnote w:id="38">
    <w:p w14:paraId="33E1DD00" w14:textId="77777777" w:rsidR="004A35BF" w:rsidRDefault="00000000" w:rsidP="00C73F13">
      <w:pPr>
        <w:pStyle w:val="FootnoteText"/>
        <w:ind w:firstLine="0"/>
      </w:pPr>
      <w:r>
        <w:rPr>
          <w:rStyle w:val="FootnoteReference"/>
        </w:rPr>
        <w:footnoteRef/>
      </w:r>
      <w:r>
        <w:t xml:space="preserve">John Richard Landis and Gary Koch, “The Measurement of Observer Agreement for Categorical Data,” Biometrics 33, no. 1 (1977): 159–174.</w:t>
      </w:r>
    </w:p>
  </w:footnote>
  <w:footnote w:id="39">
    <w:p w14:paraId="64C37D50" w14:textId="77777777" w:rsidR="004A35BF" w:rsidRDefault="00000000" w:rsidP="00C73F13">
      <w:pPr>
        <w:pStyle w:val="FootnoteText"/>
        <w:ind w:firstLine="0"/>
      </w:pPr>
      <w:r>
        <w:rPr>
          <w:rStyle w:val="FootnoteReference"/>
        </w:rPr>
        <w:footnoteRef/>
      </w:r>
      <w:r>
        <w:t xml:space="preserve">Anthony Vondoom, “Cognitive Preconditions for the Deep Symbolic Systems Model (DSSM),” OSF, 2026, https://doi.org/10.17605/OSF.IO/25AJW.</w:t>
      </w:r>
    </w:p>
  </w:footnote>
  <w:footnote w:id="40">
    <w:p w14:paraId="51F9BB08" w14:textId="77777777" w:rsidR="004A35BF" w:rsidRDefault="00000000" w:rsidP="00C73F13">
      <w:pPr>
        <w:pStyle w:val="FootnoteText"/>
        <w:ind w:firstLine="0"/>
      </w:pPr>
      <w:r>
        <w:rPr>
          <w:rStyle w:val="FootnoteReference"/>
        </w:rPr>
        <w:footnoteRef/>
      </w:r>
      <w:r>
        <w:t xml:space="preserve">Dirk Huyge, “Qurta Revisited: Further Evidence of Pleistocene Rock Art in the Nile Valley,” Antiquity 85, no. 330 (2011): 1339–1348; Per Storemyr, “Prehistoric Geometric Rock Art at Gharb Aswan, Upper Egypt,” Sahara 23 (2012): 67–76.</w:t>
      </w:r>
    </w:p>
  </w:footnote>
  <w:footnote w:id="41">
    <w:p w14:paraId="20F844EF" w14:textId="77777777" w:rsidR="004A35BF" w:rsidRDefault="00000000" w:rsidP="00C73F13">
      <w:pPr>
        <w:pStyle w:val="FootnoteText"/>
        <w:ind w:firstLine="0"/>
      </w:pPr>
      <w:r>
        <w:rPr>
          <w:rStyle w:val="FootnoteReference"/>
        </w:rPr>
        <w:footnoteRef/>
      </w:r>
      <w:r>
        <w:t xml:space="preserve">Anthony Vondoom, “The Deep Symbolic Systems Model (DSSM)—A Cognitive–Ritual Framework for Early Monumentality and Cultural Continuity,” OSF, 2025, https://doi.org/10.17605/OSF.IO/MRZFU.</w:t>
      </w:r>
    </w:p>
  </w:footnote>
  <w:footnote w:id="42">
    <w:p w14:paraId="699DFC11" w14:textId="77777777" w:rsidR="004A35BF" w:rsidRDefault="00000000" w:rsidP="00C73F13">
      <w:pPr>
        <w:pStyle w:val="FootnoteText"/>
        <w:ind w:firstLine="0"/>
      </w:pPr>
      <w:r>
        <w:rPr>
          <w:rStyle w:val="FootnoteReference"/>
        </w:rPr>
        <w:footnoteRef/>
      </w:r>
      <w:r>
        <w:t xml:space="preserve">Fred Wendorf and Romuald Schild, </w:t>
      </w:r>
      <w:r>
        <w:rPr>
          <w:i/>
        </w:rPr>
        <w:t xml:space="preserve">A Middle Stone Age Sequence from the Central Rift Valley, Ethiopia</w:t>
      </w:r>
      <w:r>
        <w:t xml:space="preserve"> (Warsaw: Polska Akademia Nauk, 1974).</w:t>
      </w:r>
    </w:p>
  </w:footnote>
  <w:footnote w:id="43">
    <w:p w14:paraId="2D4998FC" w14:textId="77777777" w:rsidR="004A35BF" w:rsidRDefault="00000000" w:rsidP="00C73F13">
      <w:pPr>
        <w:pStyle w:val="FootnoteText"/>
        <w:ind w:firstLine="0"/>
      </w:pPr>
      <w:r>
        <w:rPr>
          <w:rStyle w:val="FootnoteReference"/>
        </w:rPr>
        <w:footnoteRef/>
      </w:r>
      <w:r>
        <w:rPr/>
        <w:t xml:space="preserve">Vondoom, “Cognitive Preconditions.”</w:t>
      </w:r>
    </w:p>
  </w:footnote>
  <w:footnote w:id="44">
    <w:p w14:paraId="3CF24413" w14:textId="77777777" w:rsidR="004A35BF" w:rsidRDefault="00000000" w:rsidP="00C73F13">
      <w:pPr>
        <w:pStyle w:val="FootnoteText"/>
        <w:ind w:firstLine="0"/>
      </w:pPr>
      <w:r>
        <w:rPr>
          <w:rStyle w:val="FootnoteReference"/>
        </w:rPr>
        <w:footnoteRef/>
      </w:r>
      <w:r>
        <w:t xml:space="preserve">Guy Brunton and Gertrude Caton-Thompson, </w:t>
      </w:r>
      <w:r>
        <w:rPr>
          <w:i/>
        </w:rPr>
        <w:t xml:space="preserve">The Badarian Civilisation and Prehistoric Remains near Badari</w:t>
      </w:r>
      <w:r>
        <w:t xml:space="preserve"> (London: British School of Archaeology in Egypt, 1928); Béatrix Midant-Reynes, </w:t>
      </w:r>
      <w:r>
        <w:rPr>
          <w:i/>
        </w:rPr>
        <w:t xml:space="preserve">The Prehistory of Egypt</w:t>
      </w:r>
      <w:r>
        <w:t xml:space="preserve"> (Oxford: Blackwell, 2000).</w:t>
      </w:r>
    </w:p>
  </w:footnote>
  <w:footnote w:id="45">
    <w:p w14:paraId="10C236D0" w14:textId="77777777" w:rsidR="004A35BF" w:rsidRDefault="00000000" w:rsidP="00C73F13">
      <w:pPr>
        <w:pStyle w:val="FootnoteText"/>
        <w:ind w:firstLine="0"/>
      </w:pPr>
      <w:r>
        <w:rPr>
          <w:rStyle w:val="FootnoteReference"/>
        </w:rPr>
        <w:footnoteRef/>
      </w:r>
      <w:r>
        <w:t xml:space="preserve">Sonia Zakrzewski, “Population Continuity or Population Change: Formation of the Ancient Egyptian State,” </w:t>
      </w:r>
      <w:r>
        <w:rPr>
          <w:i/>
        </w:rPr>
        <w:t xml:space="preserve">American Journal of Physical Anthropology</w:t>
      </w:r>
      <w:r>
        <w:t xml:space="preserve"> 132, no. 4 (2007): 501–509; Fekri Hassan, Geoffrey Tassie, and Joanne Rowland, “Naqada: Cultural Diversity and Social Complexity,” in </w:t>
      </w:r>
      <w:r>
        <w:rPr>
          <w:i/>
        </w:rPr>
        <w:t xml:space="preserve">Encyclopedia of the Archaeology of Ancient Egypt</w:t>
      </w:r>
      <w:r>
        <w:t xml:space="preserve">, 2nd ed., ed. Kathryn Bard (London: Routledge, 2021).</w:t>
      </w:r>
    </w:p>
  </w:footnote>
  <w:footnote w:id="46">
    <w:p w14:paraId="5BF35673" w14:textId="77777777" w:rsidR="004A35BF" w:rsidRDefault="00000000" w:rsidP="00C73F13">
      <w:pPr>
        <w:pStyle w:val="FootnoteText"/>
        <w:ind w:firstLine="0"/>
      </w:pPr>
      <w:r>
        <w:rPr>
          <w:rStyle w:val="FootnoteReference"/>
        </w:rPr>
        <w:footnoteRef/>
      </w:r>
      <w:r>
        <w:t xml:space="preserve">Stan Hendrickx, “Sequence Dating and Predynastic Chronology,” in </w:t>
      </w:r>
      <w:r>
        <w:rPr>
          <w:i/>
        </w:rPr>
        <w:t xml:space="preserve">Before the Pyramids: The Origins of Egyptian Civilization</w:t>
      </w:r>
      <w:r>
        <w:t xml:space="preserve">, ed. Emily Teeter (Chicago: Oriental Institute of the University of Chicago, 2011), 15–16; Eva Christiana Köhler, “Theories of State Formation,” in </w:t>
      </w:r>
      <w:r>
        <w:rPr>
          <w:i/>
        </w:rPr>
        <w:t xml:space="preserve">Egyptian Archaeology</w:t>
      </w:r>
      <w:r>
        <w:t xml:space="preserve">, ed. Willeke Wendrich (Malden, MA: Wiley-Blackwell, 2010), 36–54.</w:t>
      </w:r>
    </w:p>
  </w:footnote>
  <w:footnote w:id="47">
    <w:p w14:paraId="5FA4F2AC" w14:textId="77777777" w:rsidR="004A35BF" w:rsidRDefault="00000000" w:rsidP="00C73F13">
      <w:pPr>
        <w:pStyle w:val="FootnoteText"/>
        <w:ind w:firstLine="0"/>
      </w:pPr>
      <w:r>
        <w:rPr>
          <w:rStyle w:val="FootnoteReference"/>
        </w:rPr>
        <w:footnoteRef/>
      </w:r>
      <w:r>
        <w:rPr/>
        <w:t xml:space="preserve">Hartung et al., “Tell el-Fara’in — Buto,” 1–131; Harald Riemer, “Trans-Saharan Gold Trade in Pharaonic Times?” </w:t>
      </w:r>
      <w:r>
        <w:rPr>
          <w:i/>
        </w:rPr>
        <w:t xml:space="preserve">Quaternary International</w:t>
      </w:r>
      <w:r>
        <w:rPr/>
        <w:t xml:space="preserve"> 466 (2017): 214–228.</w:t>
      </w:r>
    </w:p>
  </w:footnote>
  <w:footnote w:id="48">
    <w:p w14:paraId="787A0239" w14:textId="77777777" w:rsidR="004A35BF" w:rsidRDefault="00000000" w:rsidP="00C73F13">
      <w:pPr>
        <w:pStyle w:val="FootnoteText"/>
        <w:ind w:firstLine="0"/>
      </w:pPr>
      <w:r>
        <w:rPr>
          <w:rStyle w:val="FootnoteReference"/>
        </w:rPr>
        <w:footnoteRef/>
      </w:r>
      <w:r>
        <w:t xml:space="preserve">Renée Friedman, “Hierakonpolis Locality HK29A: The Predynastic Ceremonial Center Revisited,” </w:t>
      </w:r>
      <w:r>
        <w:rPr>
          <w:i/>
        </w:rPr>
        <w:t xml:space="preserve">Journal of the American Research Center in Egypt</w:t>
      </w:r>
      <w:r>
        <w:t xml:space="preserve"> 45 (2008): 79–103; Wim Van Neer, Veerle Linseele, and Renée Friedman, “Animal Burials and Food Offerings at the Elite Cemetery HK6 of Hierakonpolis,” in </w:t>
      </w:r>
      <w:r>
        <w:rPr>
          <w:i/>
        </w:rPr>
        <w:t xml:space="preserve">The Followers of Horus</w:t>
      </w:r>
      <w:r>
        <w:t xml:space="preserve">, ed. Renée Friedman and Barbara Adams (Oxford: Oxbow Books, 2019), 232–248; Stéphanie Bréhard and Jacqueline Bouchud, “Seasonal Patterning in Faunal Assemblages at Hierakonpolis HK29A,” </w:t>
      </w:r>
      <w:r>
        <w:rPr>
          <w:i/>
        </w:rPr>
        <w:t xml:space="preserve">Journal of Archaeological Science: Reports</w:t>
      </w:r>
      <w:r>
        <w:t xml:space="preserve"> 27 (2019): 101–119.</w:t>
      </w:r>
    </w:p>
  </w:footnote>
  <w:footnote w:id="49">
    <w:p w14:paraId="0C599030" w14:textId="77777777" w:rsidR="004A35BF" w:rsidRDefault="00000000" w:rsidP="00C73F13">
      <w:pPr>
        <w:pStyle w:val="FootnoteText"/>
        <w:ind w:firstLine="0"/>
      </w:pPr>
      <w:r>
        <w:rPr>
          <w:rStyle w:val="FootnoteReference"/>
        </w:rPr>
        <w:footnoteRef/>
      </w:r>
      <w:r>
        <w:t xml:space="preserve">Stan Hendrickx and Dirk Huyge, “Palaeolithic and </w:t>
      </w:r>
      <w:r>
        <w:rPr>
          <w:i/>
        </w:rPr>
        <w:t xml:space="preserve">Predynastic Egypt</w:t>
      </w:r>
      <w:r>
        <w:t xml:space="preserve">,” in </w:t>
      </w:r>
      <w:r>
        <w:rPr>
          <w:i/>
        </w:rPr>
        <w:t xml:space="preserve">A Companion to Ancient Egypt</w:t>
      </w:r>
      <w:r>
        <w:t xml:space="preserve">, 2nd ed., ed. Willeke Wendrich (Malden, MA: Wiley-Blackwell, 2020), 37–68; Barbara Adams, </w:t>
      </w:r>
      <w:r>
        <w:rPr>
          <w:i/>
        </w:rPr>
        <w:t xml:space="preserve">Predynastic Egypt</w:t>
      </w:r>
      <w:r>
        <w:t xml:space="preserve"> (Princes Risborough: Shire Egyptology Press, 2019).</w:t>
      </w:r>
    </w:p>
  </w:footnote>
  <w:footnote w:id="50">
    <w:p w14:paraId="25E27851" w14:textId="77777777" w:rsidR="004A35BF" w:rsidRDefault="00000000" w:rsidP="00C73F13">
      <w:pPr>
        <w:pStyle w:val="FootnoteText"/>
        <w:ind w:firstLine="0"/>
      </w:pPr>
      <w:r>
        <w:rPr>
          <w:rStyle w:val="FootnoteReference"/>
        </w:rPr>
        <w:footnoteRef/>
      </w:r>
      <w:r>
        <w:t xml:space="preserve">Andréas Stauder, “Staging Restricted Knowledge,” in </w:t>
      </w:r>
      <w:r>
        <w:rPr>
          <w:i/>
        </w:rPr>
        <w:t xml:space="preserve">The Oxford Handbook of Egyptian Epigraphy and Palaeography</w:t>
      </w:r>
      <w:r>
        <w:t xml:space="preserve">, ed. Vanessa Davies and Dimitri Laboury (Oxford: Oxford University Press, 2018); Ilona Regulski, </w:t>
      </w:r>
      <w:r>
        <w:rPr>
          <w:i/>
        </w:rPr>
        <w:t xml:space="preserve">A Palaeographic Study of Early Writing in Egypt</w:t>
      </w:r>
      <w:r>
        <w:t xml:space="preserve"> (Leuven: Peeters, 2010).</w:t>
      </w:r>
    </w:p>
  </w:footnote>
  <w:footnote w:id="51">
    <w:p w14:paraId="16BD168A" w14:textId="77777777" w:rsidR="004A35BF" w:rsidRDefault="00000000" w:rsidP="00C73F13">
      <w:pPr>
        <w:pStyle w:val="FootnoteText"/>
        <w:ind w:firstLine="0"/>
      </w:pPr>
      <w:r>
        <w:rPr>
          <w:rStyle w:val="FootnoteReference"/>
        </w:rPr>
        <w:footnoteRef/>
      </w:r>
      <w:r>
        <w:t xml:space="preserve">Günter Dreyer, </w:t>
      </w:r>
      <w:r>
        <w:rPr>
          <w:i/>
        </w:rPr>
        <w:t xml:space="preserve">Umm el-Qaab I: Das prädynastische Königsgrab U-j und seine frühen Schriftzeugnisse</w:t>
      </w:r>
      <w:r>
        <w:t xml:space="preserve"> (Mainz: Philipp von Zabern, 1998); Ilona Regulski, </w:t>
      </w:r>
      <w:r>
        <w:rPr>
          <w:i/>
        </w:rPr>
        <w:t xml:space="preserve">A Palaeographic Study of Early Writing in Egypt</w:t>
      </w:r>
      <w:r>
        <w:t xml:space="preserve"> (Leuven: Peeters, 2010).</w:t>
      </w:r>
    </w:p>
  </w:footnote>
  <w:footnote w:id="52">
    <w:p w14:paraId="764A0500" w14:textId="77777777" w:rsidR="004A35BF" w:rsidRDefault="00000000" w:rsidP="00C73F13">
      <w:pPr>
        <w:pStyle w:val="FootnoteText"/>
        <w:ind w:firstLine="0"/>
      </w:pPr>
      <w:r>
        <w:rPr>
          <w:rStyle w:val="FootnoteReference"/>
        </w:rPr>
        <w:footnoteRef/>
      </w:r>
      <w:r>
        <w:t xml:space="preserve">Mark Lehner and Zahi Hawass, </w:t>
      </w:r>
      <w:r>
        <w:rPr>
          <w:i/>
        </w:rPr>
        <w:t xml:space="preserve">Giza and the Pyramids</w:t>
      </w:r>
      <w:r>
        <w:t xml:space="preserve"> (Chicago: University of Chicago Press, 2017); Ana Tavares, “The Old Kingdom State,” </w:t>
      </w:r>
      <w:r>
        <w:rPr>
          <w:i/>
        </w:rPr>
        <w:t xml:space="preserve">Journal of Egyptian Archaeology</w:t>
      </w:r>
      <w:r>
        <w:t xml:space="preserve"> 104, no. 1 (2018): 125–147.</w:t>
      </w:r>
    </w:p>
  </w:footnote>
  <w:footnote w:id="53">
    <w:p w14:paraId="47CDB9A1" w14:textId="77777777" w:rsidR="004A35BF" w:rsidRDefault="00000000" w:rsidP="00C73F13">
      <w:pPr>
        <w:pStyle w:val="FootnoteText"/>
        <w:ind w:firstLine="0"/>
      </w:pPr>
      <w:r>
        <w:rPr>
          <w:rStyle w:val="FootnoteReference"/>
        </w:rPr>
        <w:footnoteRef/>
      </w:r>
      <w:r>
        <w:rPr/>
        <w:t xml:space="preserve">Dreyer, </w:t>
      </w:r>
      <w:r>
        <w:rPr>
          <w:i/>
        </w:rPr>
        <w:t xml:space="preserve">Umm el-Qaab I</w:t>
      </w:r>
      <w:r>
        <w:rPr/>
        <w:t xml:space="preserve">; Andréas Stauder, “Staging Restricted Knowledge,” in </w:t>
      </w:r>
      <w:r>
        <w:rPr>
          <w:i/>
        </w:rPr>
        <w:t xml:space="preserve">The Oxford Handbook of Egyptian Epigraphy and Palaeography</w:t>
      </w:r>
      <w:r>
        <w:rPr/>
        <w:t xml:space="preserve">, ed. Vanessa Davies and Dimitri Laboury (Oxford: Oxford University Press, 2018).</w:t>
      </w:r>
    </w:p>
  </w:footnote>
  <w:footnote w:id="54">
    <w:p w14:paraId="3FE39B8D" w14:textId="77777777" w:rsidR="004A35BF" w:rsidRDefault="00000000" w:rsidP="00C73F13">
      <w:pPr>
        <w:pStyle w:val="FootnoteText"/>
        <w:ind w:firstLine="0"/>
      </w:pPr>
      <w:r>
        <w:rPr>
          <w:rStyle w:val="FootnoteReference"/>
        </w:rPr>
        <w:footnoteRef/>
      </w:r>
      <w:r>
        <w:rPr/>
        <w:t xml:space="preserve">Lehner and Hawass, </w:t>
      </w:r>
      <w:r>
        <w:rPr>
          <w:i/>
        </w:rPr>
        <w:t xml:space="preserve">Giza and the Pyramids</w:t>
      </w:r>
      <w:r>
        <w:rPr/>
        <w:t>.</w:t>
      </w:r>
    </w:p>
  </w:footnote>
  <w:footnote w:id="55">
    <w:p w14:paraId="6C4DD67E" w14:textId="77777777" w:rsidR="004A35BF" w:rsidRDefault="00000000" w:rsidP="00C73F13">
      <w:pPr>
        <w:pStyle w:val="FootnoteText"/>
        <w:ind w:firstLine="0"/>
      </w:pPr>
      <w:r>
        <w:rPr>
          <w:rStyle w:val="FootnoteReference"/>
        </w:rPr>
        <w:footnoteRef/>
      </w:r>
      <w:r>
        <w:rPr/>
        <w:t xml:space="preserve">Vondoom, “The Deep Symbolic Systems Model.”</w:t>
      </w:r>
    </w:p>
  </w:footnote>
  <w:footnote w:id="56">
    <w:p w14:paraId="6DCE8E66" w14:textId="77777777" w:rsidR="004A35BF" w:rsidRDefault="00000000" w:rsidP="00C73F13">
      <w:pPr>
        <w:pStyle w:val="FootnoteText"/>
        <w:ind w:firstLine="0"/>
      </w:pPr>
      <w:r>
        <w:rPr>
          <w:rStyle w:val="FootnoteReference"/>
        </w:rPr>
        <w:footnoteRef/>
      </w:r>
      <w:r>
        <w:t xml:space="preserve">Peter Akkermans and Glenn Schwartz, </w:t>
      </w:r>
      <w:r>
        <w:rPr>
          <w:i/>
        </w:rPr>
        <w:t xml:space="preserve">The Archaeology of Syria: From Complex Hunter-Gatherers to Early Urban Societies</w:t>
      </w:r>
      <w:r>
        <w:t xml:space="preserve"> (Cambridge: Cambridge University Press, 2003); Gil Stein, “Tell Zeidan: Development and Collapse of an Ubaid Society,” </w:t>
      </w:r>
      <w:r>
        <w:rPr>
          <w:i/>
        </w:rPr>
        <w:t>Backdirt</w:t>
      </w:r>
      <w:r>
        <w:t xml:space="preserve"> (2017): 68–76.</w:t>
      </w:r>
    </w:p>
  </w:footnote>
  <w:footnote w:id="57">
    <w:p w14:paraId="17CD45E6" w14:textId="77777777" w:rsidR="004A35BF" w:rsidRDefault="00000000" w:rsidP="00C73F13">
      <w:pPr>
        <w:pStyle w:val="FootnoteText"/>
        <w:ind w:firstLine="0"/>
      </w:pPr>
      <w:r>
        <w:rPr>
          <w:rStyle w:val="FootnoteReference"/>
        </w:rPr>
        <w:footnoteRef/>
      </w:r>
      <w:r>
        <w:t xml:space="preserve">Brian Peasnall, </w:t>
      </w:r>
      <w:r>
        <w:rPr>
          <w:i/>
        </w:rPr>
        <w:t xml:space="preserve">The Ubaid World: Connectivity, Interaction, and Social Complexity</w:t>
      </w:r>
      <w:r>
        <w:t xml:space="preserve"> (Washington, DC: SAA Press, 2020); Robert Carter and Graham Philip, eds., </w:t>
      </w:r>
      <w:r>
        <w:rPr>
          <w:i/>
        </w:rPr>
        <w:t xml:space="preserve">Beyond the Ubaid: Transformation and Integration in the Late Prehistoric Societies of the Middle East</w:t>
      </w:r>
      <w:r>
        <w:t xml:space="preserve"> (Chicago: Oriental Institute of the University of Chicago, 2019).</w:t>
      </w:r>
    </w:p>
  </w:footnote>
  <w:footnote w:id="58">
    <w:p w14:paraId="402865DD" w14:textId="77777777" w:rsidR="004A35BF" w:rsidRDefault="00000000" w:rsidP="00C73F13">
      <w:pPr>
        <w:pStyle w:val="FootnoteText"/>
        <w:ind w:firstLine="0"/>
      </w:pPr>
      <w:r>
        <w:rPr>
          <w:rStyle w:val="FootnoteReference"/>
        </w:rPr>
        <w:footnoteRef/>
      </w:r>
      <w:r>
        <w:t xml:space="preserve">Cameron Petrie et al., “Adaptation to Variable Environments, Resilience to Climate Change in Indus Northwest India,” </w:t>
      </w:r>
      <w:r>
        <w:rPr>
          <w:i/>
        </w:rPr>
        <w:t xml:space="preserve">PLOS ONE</w:t>
      </w:r>
      <w:r>
        <w:t xml:space="preserve"> 12, no. 11 (2017): e0188387; Jonathan Mark Kenoyer, “Cultures and Societies of the Indus Tradition,” in </w:t>
      </w:r>
      <w:r>
        <w:rPr>
          <w:i/>
        </w:rPr>
        <w:t xml:space="preserve">Historical Roots in Early India</w:t>
      </w:r>
      <w:r>
        <w:t xml:space="preserve">, ed. Romila Thapar (New Delhi: National Book Trust, 2017).</w:t>
      </w:r>
    </w:p>
  </w:footnote>
  <w:footnote w:id="59">
    <w:p w14:paraId="4AF7F913" w14:textId="77777777" w:rsidR="004A35BF" w:rsidRDefault="00000000" w:rsidP="00C73F13">
      <w:pPr>
        <w:pStyle w:val="FootnoteText"/>
        <w:ind w:firstLine="0"/>
      </w:pPr>
      <w:r>
        <w:rPr>
          <w:rStyle w:val="FootnoteReference"/>
        </w:rPr>
        <w:footnoteRef/>
      </w:r>
      <w:r>
        <w:t xml:space="preserve">Mark Pollard et al., </w:t>
      </w:r>
      <w:r>
        <w:rPr>
          <w:i/>
        </w:rPr>
        <w:t xml:space="preserve">Beyond Provenance</w:t>
      </w:r>
      <w:r>
        <w:t xml:space="preserve"> (Leiden: Sidestone Press, 2018); Li Liu and Xingcan Chen, </w:t>
      </w:r>
      <w:r>
        <w:rPr>
          <w:i/>
        </w:rPr>
        <w:t xml:space="preserve">The Archaeology of China</w:t>
      </w:r>
      <w:r>
        <w:t xml:space="preserve">, 2nd ed. (Cambridge: Cambridge University Press, 2021).</w:t>
      </w:r>
    </w:p>
  </w:footnote>
  <w:footnote w:id="60">
    <w:p w14:paraId="2B311183" w14:textId="77777777" w:rsidR="004A35BF" w:rsidRDefault="00000000" w:rsidP="00C73F13">
      <w:pPr>
        <w:pStyle w:val="FootnoteText"/>
        <w:ind w:firstLine="0"/>
      </w:pPr>
      <w:r>
        <w:rPr>
          <w:rStyle w:val="FootnoteReference"/>
        </w:rPr>
        <w:footnoteRef/>
      </w:r>
      <w:r>
        <w:t xml:space="preserve">Francesca Merlan, “Explorations towards Intercultural Understanding in Australia,” </w:t>
      </w:r>
      <w:r>
        <w:rPr>
          <w:i/>
        </w:rPr>
        <w:t xml:space="preserve">Journal of the Royal Anthropological Institute</w:t>
      </w:r>
      <w:r>
        <w:t xml:space="preserve"> 26, no. 2 (2020): 225–242; Ian Keen, </w:t>
      </w:r>
      <w:r>
        <w:rPr>
          <w:i/>
        </w:rPr>
        <w:t xml:space="preserve">Knowledge and Secrecy in an Aboriginal Religion</w:t>
      </w:r>
      <w:r>
        <w:t xml:space="preserve"> (Oxford: Oxford University Press, 2018).</w:t>
      </w:r>
    </w:p>
  </w:footnote>
  <w:footnote w:id="61">
    <w:p w14:paraId="3315BC7B" w14:textId="77777777" w:rsidR="004A35BF" w:rsidRDefault="00000000" w:rsidP="00C73F13">
      <w:pPr>
        <w:pStyle w:val="FootnoteText"/>
        <w:ind w:firstLine="0"/>
      </w:pPr>
      <w:r>
        <w:rPr>
          <w:rStyle w:val="FootnoteReference"/>
        </w:rPr>
        <w:footnoteRef/>
      </w:r>
      <w:r>
        <w:t xml:space="preserve">Ian Keen, </w:t>
      </w:r>
      <w:r>
        <w:rPr>
          <w:i/>
        </w:rPr>
        <w:t xml:space="preserve">Knowledge and Secrecy in an Aboriginal Religion</w:t>
      </w:r>
      <w:r>
        <w:t xml:space="preserve"> (Oxford: Oxford University Press, 2018); Francesca Merlan, “Explorations towards Intercultural Understanding in Australia,” </w:t>
      </w:r>
      <w:r>
        <w:rPr>
          <w:i/>
        </w:rPr>
        <w:t xml:space="preserve">Journal of the Royal Anthropological Institute</w:t>
      </w:r>
      <w:r>
        <w:t xml:space="preserve"> 26, no. 2 (2020): 225–242.</w:t>
      </w:r>
    </w:p>
  </w:footnote>
  <w:footnote w:id="62">
    <w:p w14:paraId="67FBCE21" w14:textId="77777777" w:rsidR="004A35BF" w:rsidRDefault="00000000" w:rsidP="00C73F13">
      <w:pPr>
        <w:pStyle w:val="FootnoteText"/>
        <w:ind w:firstLine="0"/>
      </w:pPr>
      <w:r>
        <w:rPr>
          <w:rStyle w:val="FootnoteReference"/>
        </w:rPr>
        <w:footnoteRef/>
      </w:r>
      <w:r>
        <w:rPr/>
        <w:t xml:space="preserve">Keen, </w:t>
      </w:r>
      <w:r>
        <w:rPr>
          <w:i/>
        </w:rPr>
        <w:t xml:space="preserve">Knowledge and Secrecy</w:t>
      </w:r>
      <w:r>
        <w:rPr/>
        <w:t xml:space="preserve">; Merlan, “Explorations towards Intercultural Understanding.”</w:t>
      </w:r>
    </w:p>
  </w:footnote>
  <w:footnote w:id="63">
    <w:p w14:paraId="350016B3" w14:textId="77777777" w:rsidR="004A35BF" w:rsidRDefault="00000000" w:rsidP="00C73F13">
      <w:pPr>
        <w:pStyle w:val="FootnoteText"/>
        <w:ind w:firstLine="0"/>
      </w:pPr>
      <w:r>
        <w:rPr>
          <w:rStyle w:val="FootnoteReference"/>
        </w:rPr>
        <w:footnoteRef/>
      </w:r>
      <w:r>
        <w:t xml:space="preserve">Colin Renfrew, “Megaliths, Territories and Populations,” in </w:t>
      </w:r>
      <w:r>
        <w:rPr>
          <w:i/>
        </w:rPr>
        <w:t xml:space="preserve">Acculturation and Continuity in Atlantic Europe</w:t>
      </w:r>
      <w:r>
        <w:t xml:space="preserve">, ed. Sigfried De Laet (Bruges: De Tempel, 1976), 198–220; Chris Scarre, </w:t>
      </w:r>
      <w:r>
        <w:rPr>
          <w:i/>
        </w:rPr>
        <w:t xml:space="preserve">The Megalithic Monuments of Britain and Ireland</w:t>
      </w:r>
      <w:r>
        <w:t xml:space="preserve"> (London: Thames &amp; Hudson, 2020).</w:t>
      </w:r>
    </w:p>
  </w:footnote>
  <w:footnote w:id="64">
    <w:p w14:paraId="44662ACA" w14:textId="77777777" w:rsidR="004A35BF" w:rsidRDefault="00000000" w:rsidP="00C73F13">
      <w:pPr>
        <w:pStyle w:val="FootnoteText"/>
        <w:ind w:firstLine="0"/>
      </w:pPr>
      <w:r>
        <w:rPr>
          <w:rStyle w:val="FootnoteReference"/>
        </w:rPr>
        <w:footnoteRef/>
      </w:r>
      <w:r>
        <w:t xml:space="preserve">Andrew Strathern, </w:t>
      </w:r>
      <w:r>
        <w:rPr>
          <w:i/>
        </w:rPr>
        <w:t xml:space="preserve">The Rope of Moka: Big-Men and Ceremonial Exchange in Mount Hagen, New Guinea</w:t>
      </w:r>
      <w:r>
        <w:t xml:space="preserve"> (Cambridge: Cambridge University Press, 1971); Daryl Feil, </w:t>
      </w:r>
      <w:r>
        <w:rPr>
          <w:i/>
        </w:rPr>
        <w:t xml:space="preserve">The Evolution of Highland Papua New Guinea Societies</w:t>
      </w:r>
      <w:r>
        <w:t xml:space="preserve"> (Cambridge: Cambridge University Press, 1987).</w:t>
      </w:r>
    </w:p>
  </w:footnote>
  <w:footnote w:id="65">
    <w:p w14:paraId="7095B23D" w14:textId="77777777" w:rsidR="004A35BF" w:rsidRDefault="00000000" w:rsidP="00C73F13">
      <w:pPr>
        <w:pStyle w:val="FootnoteText"/>
        <w:ind w:firstLine="0"/>
      </w:pPr>
      <w:r>
        <w:rPr>
          <w:rStyle w:val="FootnoteReference"/>
        </w:rPr>
        <w:footnoteRef/>
      </w:r>
      <w:r>
        <w:t xml:space="preserve">Ruth Shady Solís, Jonathan Haas, and Winifred Creamer, “Dating Caral, a Preceramic Site in the Supe Valley on the Central Coast of Peru,” </w:t>
      </w:r>
      <w:r>
        <w:rPr>
          <w:i/>
        </w:rPr>
        <w:t>Science</w:t>
      </w:r>
      <w:r>
        <w:t xml:space="preserve"> 292, no. 5517 (2001): 723–726; Charles Mann, </w:t>
      </w:r>
      <w:r>
        <w:rPr>
          <w:i/>
        </w:rPr>
        <w:t xml:space="preserve">1491: New Revelations of the Americas before Columbus</w:t>
      </w:r>
      <w:r>
        <w:t xml:space="preserve"> (New York: Knopf, 2005). Caral-Supe, c. 3000–1800 BCE.</w:t>
      </w:r>
    </w:p>
  </w:footnote>
  <w:footnote w:id="66">
    <w:p w14:paraId="2FBE51E5" w14:textId="77777777" w:rsidR="004A35BF" w:rsidRDefault="00000000" w:rsidP="00C73F13">
      <w:pPr>
        <w:pStyle w:val="FootnoteText"/>
        <w:ind w:firstLine="0"/>
      </w:pPr>
      <w:r>
        <w:rPr>
          <w:rStyle w:val="FootnoteReference"/>
        </w:rPr>
        <w:footnoteRef/>
      </w:r>
      <w:r>
        <w:t xml:space="preserve">Ruth Shady Solís, Jonathan Haas, and Winifred Creamer, “Dating Caral, a Preceramic Site in the Supe Valley on the Central Coast of Peru,” </w:t>
      </w:r>
      <w:r>
        <w:rPr>
          <w:i/>
        </w:rPr>
        <w:t>Science</w:t>
      </w:r>
      <w:r>
        <w:t xml:space="preserve"> 292, no. 5517 (2001): 723–726; Charles Mann, </w:t>
      </w:r>
      <w:r>
        <w:rPr>
          <w:i/>
        </w:rPr>
        <w:t xml:space="preserve">1491: New Revelations of the Americas before Columbus</w:t>
      </w:r>
      <w:r>
        <w:t xml:space="preserve"> (New York: Knopf, 2005).</w:t>
      </w:r>
    </w:p>
  </w:footnote>
  <w:footnote w:id="67">
    <w:p w14:paraId="3304AA80" w14:textId="77777777" w:rsidR="004A35BF" w:rsidRDefault="00000000" w:rsidP="00C73F13">
      <w:pPr>
        <w:pStyle w:val="FootnoteText"/>
        <w:ind w:firstLine="0"/>
      </w:pPr>
      <w:r>
        <w:rPr>
          <w:rStyle w:val="FootnoteReference"/>
        </w:rPr>
        <w:footnoteRef/>
      </w:r>
      <w:r>
        <w:rPr/>
        <w:t xml:space="preserve">Strathern, </w:t>
      </w:r>
      <w:r>
        <w:rPr>
          <w:i/>
        </w:rPr>
        <w:t xml:space="preserve">The Rope of Moka</w:t>
      </w:r>
      <w:r>
        <w:rPr/>
        <w:t xml:space="preserve">; Daryl Feil, </w:t>
      </w:r>
      <w:r>
        <w:rPr>
          <w:i/>
        </w:rPr>
        <w:t xml:space="preserve">The Evolution of Highland Papua New Guinea Societies</w:t>
      </w:r>
      <w:r>
        <w:rPr/>
        <w:t xml:space="preserve"> (Cambridge: Cambridge University Press, 1987); Polly Wiessner and Akii Tumu, </w:t>
      </w:r>
      <w:r>
        <w:rPr>
          <w:i/>
        </w:rPr>
        <w:t xml:space="preserve">Historical Vines: Enga Networks of Exchange, Ritual, and Warfare in Papua New Guinea</w:t>
      </w:r>
      <w:r>
        <w:rPr/>
        <w:t xml:space="preserve"> (Washington, DC: Smithsonian Institution Press, 1998).</w:t>
      </w:r>
    </w:p>
  </w:footnote>
  <w:footnote w:id="68">
    <w:p w14:paraId="1D7783C4" w14:textId="77777777" w:rsidR="004A35BF" w:rsidRDefault="00000000" w:rsidP="00C73F13">
      <w:pPr>
        <w:pStyle w:val="FootnoteText"/>
        <w:ind w:firstLine="0"/>
      </w:pPr>
      <w:r>
        <w:rPr>
          <w:rStyle w:val="FootnoteReference"/>
        </w:rPr>
        <w:footnoteRef/>
      </w:r>
      <w:r>
        <w:rPr/>
        <w:t xml:space="preserve">Strathern, </w:t>
      </w:r>
      <w:r>
        <w:rPr>
          <w:i/>
        </w:rPr>
        <w:t xml:space="preserve">The Rope of Moka</w:t>
      </w:r>
      <w:r>
        <w:rPr/>
        <w:t xml:space="preserve">; Robert Kelly, </w:t>
      </w:r>
      <w:r>
        <w:rPr>
          <w:i/>
        </w:rPr>
        <w:t xml:space="preserve">The Foraging Spectrum: Diversity in Hunter-Gatherer Lifeways</w:t>
      </w:r>
      <w:r>
        <w:rPr/>
        <w:t xml:space="preserve"> (Washington, DC: Smithsonian Institution Press, 1993).</w:t>
      </w:r>
    </w:p>
  </w:footnote>
  <w:footnote w:id="69">
    <w:p w14:paraId="53C1380D" w14:textId="77777777" w:rsidR="004A35BF" w:rsidRDefault="00000000" w:rsidP="00C73F13">
      <w:pPr>
        <w:pStyle w:val="FootnoteText"/>
        <w:ind w:firstLine="0"/>
      </w:pPr>
      <w:r>
        <w:rPr>
          <w:rStyle w:val="FootnoteReference"/>
        </w:rPr>
        <w:footnoteRef/>
      </w:r>
      <w:r>
        <w:rPr/>
        <w:t xml:space="preserve">Shady Solís, Haas, and Creamer, “Dating Caral,” 723–726; Jonathan Haas, Winifred Creamer, and Alvaro Ruiz, “Dating the Late Archaic Occupation of the Norte Chico Region in Peru,” </w:t>
      </w:r>
      <w:r>
        <w:rPr>
          <w:i/>
        </w:rPr>
        <w:t>Nature</w:t>
      </w:r>
      <w:r>
        <w:rPr/>
        <w:t xml:space="preserve"> 432 (2004): 1020–1023; Charles Mann, </w:t>
      </w:r>
      <w:r>
        <w:rPr>
          <w:i/>
        </w:rPr>
        <w:t xml:space="preserve">1491: New Revelations of the Americas before Columbus</w:t>
      </w:r>
      <w:r>
        <w:rPr/>
        <w:t xml:space="preserve"> (New York: Knopf, 2005).</w:t>
      </w:r>
    </w:p>
  </w:footnote>
  <w:footnote w:id="70">
    <w:p w14:paraId="5C27DEED" w14:textId="77777777" w:rsidR="004A35BF" w:rsidRDefault="00000000" w:rsidP="00C73F13">
      <w:pPr>
        <w:pStyle w:val="FootnoteText"/>
        <w:ind w:firstLine="0"/>
      </w:pPr>
      <w:r>
        <w:rPr>
          <w:rStyle w:val="FootnoteReference"/>
        </w:rPr>
        <w:footnoteRef/>
      </w:r>
      <w:r>
        <w:rPr/>
        <w:t xml:space="preserve">Shady Solís, Haas, and Creamer, “Dating Caral,” 723–726; Winifred Creamer, Jonathan Haas, and Alvaro Ruiz, “Archaeological Investigation of Late Archaic Sites (3000–1800 BC) in the Pativilca Valley, Peru,” </w:t>
      </w:r>
      <w:r>
        <w:rPr>
          <w:i/>
        </w:rPr>
        <w:t xml:space="preserve">Fieldiana Anthropology</w:t>
      </w:r>
      <w:r>
        <w:rPr/>
        <w:t xml:space="preserve"> 40 (2007): 1–80.</w:t>
      </w:r>
    </w:p>
  </w:footnote>
  <w:footnote w:id="71">
    <w:p w14:paraId="6FE6C60E" w14:textId="77777777" w:rsidR="004A35BF" w:rsidRDefault="00000000" w:rsidP="00C73F13">
      <w:pPr>
        <w:pStyle w:val="FootnoteText"/>
        <w:ind w:firstLine="0"/>
      </w:pPr>
      <w:r>
        <w:rPr>
          <w:rStyle w:val="FootnoteReference"/>
        </w:rPr>
        <w:footnoteRef/>
      </w:r>
      <w:r>
        <w:rPr/>
        <w:t xml:space="preserve">Welc and Marks, “Climate Change,” 124–133; Sturt Manning, “Volatile and Variable but Not Always,” </w:t>
      </w:r>
      <w:r>
        <w:rPr>
          <w:i/>
        </w:rPr>
        <w:t xml:space="preserve">Journal of Egyptian History</w:t>
      </w:r>
      <w:r>
        <w:rPr/>
        <w:t xml:space="preserve"> 11, nos. 1–2 (2018): 165–241.</w:t>
      </w:r>
    </w:p>
  </w:footnote>
  <w:footnote w:id="72">
    <w:p w14:paraId="282EF3DA" w14:textId="77777777" w:rsidR="004A35BF" w:rsidRDefault="00000000" w:rsidP="00C73F13">
      <w:pPr>
        <w:pStyle w:val="FootnoteText"/>
        <w:ind w:firstLine="0"/>
      </w:pPr>
      <w:r>
        <w:rPr>
          <w:rStyle w:val="FootnoteReference"/>
        </w:rPr>
        <w:footnoteRef/>
      </w:r>
      <w:r>
        <w:rPr/>
        <w:t xml:space="preserve">Childe, “The Urban Revolution,” 3–17; Elizabeth Brumfiel and Timothy Earle, eds., </w:t>
      </w:r>
      <w:r>
        <w:rPr>
          <w:i/>
        </w:rPr>
        <w:t xml:space="preserve">Specialization, Exchange, and Complex Societies</w:t>
      </w:r>
      <w:r>
        <w:rPr/>
        <w:t xml:space="preserve"> (Cambridge: Cambridge University Press, 1987).</w:t>
      </w:r>
    </w:p>
  </w:footnote>
  <w:footnote w:id="73">
    <w:p w14:paraId="6796497C" w14:textId="77777777" w:rsidR="004A35BF" w:rsidRDefault="00000000" w:rsidP="00C73F13">
      <w:pPr>
        <w:pStyle w:val="FootnoteText"/>
        <w:ind w:firstLine="0"/>
      </w:pPr>
      <w:r>
        <w:rPr>
          <w:rStyle w:val="FootnoteReference"/>
        </w:rPr>
        <w:footnoteRef/>
      </w:r>
      <w:r>
        <w:rPr/>
        <w:t xml:space="preserve">Hartung et al., “Tell el-Fara’in — Buto,” 1–131; Riemer, “Trans-Saharan Gold Trade.”</w:t>
      </w:r>
    </w:p>
  </w:footnote>
  <w:footnote w:id="74">
    <w:p w14:paraId="5B163B2F" w14:textId="77777777" w:rsidR="004A35BF" w:rsidRDefault="00000000" w:rsidP="00C73F13">
      <w:pPr>
        <w:pStyle w:val="FootnoteText"/>
        <w:ind w:firstLine="0"/>
      </w:pPr>
      <w:r>
        <w:rPr>
          <w:rStyle w:val="FootnoteReference"/>
        </w:rPr>
        <w:footnoteRef/>
      </w:r>
      <w:r>
        <w:t xml:space="preserve">Robert Carneiro, “The Circumscription Theory: A Clarification, Amplification, and Reformulation,” Social Evolution &amp; History 11, no. 2 (2012): 5–30; Norman Yoffee, “The Power of Infrastructures,” Journal of Archaeological Method and Theory 22, no. 2 (2015): 327–345.</w:t>
      </w:r>
    </w:p>
  </w:footnote>
  <w:footnote w:id="75">
    <w:p w14:paraId="25EFAC4D" w14:textId="77777777" w:rsidR="004A35BF" w:rsidRDefault="00000000" w:rsidP="00C73F13">
      <w:pPr>
        <w:pStyle w:val="FootnoteText"/>
        <w:ind w:firstLine="0"/>
      </w:pPr>
      <w:r>
        <w:rPr>
          <w:rStyle w:val="FootnoteReference"/>
        </w:rPr>
        <w:footnoteRef/>
      </w:r>
      <w:r>
        <w:rPr/>
        <w:t xml:space="preserve">Stauder, “Staging Restricted Knowledge”; Ilona Regulski, </w:t>
      </w:r>
      <w:r>
        <w:rPr>
          <w:i/>
        </w:rPr>
        <w:t xml:space="preserve">A Palaeographic Study of Early Writing in Egypt</w:t>
      </w:r>
      <w:r>
        <w:rPr/>
        <w:t xml:space="preserve"> (Leuven: Peeters, 2010).</w:t>
      </w:r>
    </w:p>
  </w:footnote>
  <w:footnote w:id="76">
    <w:p w14:paraId="7AC385D0" w14:textId="77777777" w:rsidR="004A35BF" w:rsidRDefault="00000000" w:rsidP="00C73F13">
      <w:pPr>
        <w:pStyle w:val="FootnoteText"/>
        <w:ind w:firstLine="0"/>
      </w:pPr>
      <w:r>
        <w:rPr>
          <w:rStyle w:val="FootnoteReference"/>
        </w:rPr>
        <w:footnoteRef/>
      </w:r>
      <w:r>
        <w:rPr/>
        <w:t xml:space="preserve">Hendrickx and Huyge, “Palaeolithic and Predynastic Egypt,” 37–68; Jonathan Mark Kenoyer, “Cultures and Societies of the Indus Tradition,” in </w:t>
      </w:r>
      <w:r>
        <w:rPr>
          <w:i/>
        </w:rPr>
        <w:t xml:space="preserve">Historical Roots in Early India</w:t>
      </w:r>
      <w:r>
        <w:rPr/>
        <w:t xml:space="preserve">, ed. Romila Thapar (New Delhi: National Book Trust, 2017); Li Liu and Xingcan Chen, </w:t>
      </w:r>
      <w:r>
        <w:rPr>
          <w:i/>
        </w:rPr>
        <w:t xml:space="preserve">The Archaeology of China</w:t>
      </w:r>
      <w:r>
        <w:rPr/>
        <w:t xml:space="preserve">, 2nd ed. (Cambridge: Cambridge University Press, 2021).</w:t>
      </w:r>
    </w:p>
  </w:footnote>
  <w:footnote w:id="77">
    <w:p w14:paraId="380A597F" w14:textId="77777777" w:rsidR="004A35BF" w:rsidRDefault="00000000" w:rsidP="00C73F13">
      <w:pPr>
        <w:pStyle w:val="FootnoteText"/>
        <w:ind w:firstLine="0"/>
      </w:pPr>
      <w:r>
        <w:rPr>
          <w:rStyle w:val="FootnoteReference"/>
        </w:rPr>
        <w:footnoteRef/>
      </w:r>
      <w:r>
        <w:rPr/>
        <w:t xml:space="preserve">Hendrickx and Huyge, “Palaeolithic and Predynastic Egypt,” 37–68; Eva Christiana Köhler, “State Formation and the Creation of Kingship in Early Egypt,” in </w:t>
      </w:r>
      <w:r>
        <w:rPr>
          <w:i/>
        </w:rPr>
        <w:t xml:space="preserve">Encyclopedia of the Archaeology of Ancient Egypt</w:t>
      </w:r>
      <w:r>
        <w:rPr/>
        <w:t xml:space="preserve">, 2nd ed., ed. Kathryn Bard (London: Routledge, 2021); David Wengrow, </w:t>
      </w:r>
      <w:r>
        <w:rPr>
          <w:i/>
        </w:rPr>
        <w:t xml:space="preserve">What Makes Civilization</w:t>
      </w:r>
      <w:r>
        <w:rPr/>
        <w:t xml:space="preserve">, 2nd ed. (Oxford: Oxford University Press, 2020).</w:t>
      </w:r>
    </w:p>
  </w:footnote>
  <w:footnote w:id="78">
    <w:p w14:paraId="742E1D92" w14:textId="77777777" w:rsidR="004A35BF" w:rsidRDefault="00000000" w:rsidP="00C73F13">
      <w:pPr>
        <w:pStyle w:val="FootnoteText"/>
        <w:ind w:firstLine="0"/>
      </w:pPr>
      <w:r>
        <w:rPr>
          <w:rStyle w:val="FootnoteReference"/>
        </w:rPr>
        <w:footnoteRef/>
      </w:r>
      <w:r>
        <w:t xml:space="preserve">Bruce Trigger, </w:t>
      </w:r>
      <w:r>
        <w:rPr>
          <w:i/>
        </w:rPr>
        <w:t xml:space="preserve">Understanding Early Civilizations</w:t>
      </w:r>
      <w:r>
        <w:t xml:space="preserve"> (Cambridge: Cambridge University Press, 2003); Barry Kemp, </w:t>
      </w:r>
      <w:r>
        <w:rPr>
          <w:i/>
        </w:rPr>
        <w:t xml:space="preserve">Ancient Egypt: Anatomy of a Civilization</w:t>
      </w:r>
      <w:r>
        <w:t xml:space="preserve">, 2nd ed. (London: Routledge,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9E22" w14:textId="77777777" w:rsidR="00174B05" w:rsidRPr="00A05D09" w:rsidRDefault="00174B05" w:rsidP="00174B05">
    <w:pPr>
      <w:spacing w:before="100" w:beforeAutospacing="1" w:after="100" w:afterAutospacing="1"/>
      <w:ind w:firstLine="0"/>
      <w:jc w:val="center"/>
      <w:outlineLvl w:val="0"/>
      <w:rPr>
        <w:rFonts w:ascii="Times New Roman" w:eastAsia="Times New Roman" w:hAnsi="Times New Roman" w:cs="Times New Roman"/>
        <w:kern w:val="36"/>
        <w:sz w:val="20"/>
        <w:szCs w:val="20"/>
        <w:lang w:eastAsia="en-GB"/>
      </w:rPr>
    </w:pPr>
    <w:r w:rsidRPr="00A05D09">
      <w:rPr>
        <w:rFonts w:ascii="Times New Roman" w:hAnsi="Times New Roman" w:cs="Times New Roman"/>
        <w:b/>
        <w:bCs/>
        <w:sz w:val="20"/>
        <w:szCs w:val="20"/>
      </w:rPr>
      <w:t>Anthony Vondoom</w:t>
    </w:r>
    <w:r w:rsidR="003A1514" w:rsidRPr="00A05D09">
      <w:rPr>
        <w:rFonts w:ascii="Times New Roman" w:hAnsi="Times New Roman" w:cs="Times New Roman"/>
        <w:b/>
        <w:bCs/>
        <w:sz w:val="20"/>
        <w:szCs w:val="20"/>
      </w:rPr>
      <w:t>,</w:t>
    </w:r>
    <w:r w:rsidR="003A1514" w:rsidRPr="00174B05">
      <w:rPr>
        <w:rFonts w:ascii="Times New Roman" w:hAnsi="Times New Roman" w:cs="Times New Roman"/>
        <w:b/>
        <w:bCs/>
        <w:sz w:val="20"/>
        <w:szCs w:val="20"/>
      </w:rPr>
      <w:t xml:space="preserve"> </w:t>
    </w:r>
    <w:r w:rsidRPr="00A05D09">
      <w:rPr>
        <w:rFonts w:ascii="Times New Roman" w:eastAsia="Times New Roman" w:hAnsi="Times New Roman" w:cs="Times New Roman"/>
        <w:kern w:val="36"/>
        <w:sz w:val="20"/>
        <w:szCs w:val="20"/>
        <w:lang w:eastAsia="en-GB"/>
      </w:rPr>
      <w:t xml:space="preserve">Cognitive Foundations of Early Egyptian Civilization:  </w:t>
    </w:r>
    <w:r w:rsidRPr="00A05D09">
      <w:rPr>
        <w:rFonts w:ascii="Times New Roman" w:eastAsia="Times New Roman" w:hAnsi="Times New Roman" w:cs="Times New Roman"/>
        <w:sz w:val="20"/>
        <w:szCs w:val="20"/>
        <w:lang w:eastAsia="en-GB"/>
      </w:rPr>
      <w:t>Insights from the Deep Symbolic Systems Model (DSSM)</w:t>
    </w:r>
  </w:p>
  <w:p w14:paraId="42EFE47B" w14:textId="73C83220" w:rsidR="003A1514" w:rsidRDefault="003A1514" w:rsidP="00947142">
    <w:pPr>
      <w:spacing w:after="0"/>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F545" w14:textId="7F3B4AA4" w:rsidR="000377E7" w:rsidRPr="00430D04" w:rsidRDefault="000377E7" w:rsidP="000377E7">
    <w:pPr>
      <w:pStyle w:val="Header"/>
      <w:jc w:val="center"/>
      <w:rPr>
        <w:sz w:val="16"/>
        <w:szCs w:val="16"/>
      </w:rPr>
    </w:pPr>
    <w:r w:rsidRPr="005C1DEE">
      <w:rPr>
        <w:rFonts w:ascii="Times New Roman" w:hAnsi="Times New Roman" w:cs="Times New Roman"/>
        <w:b/>
        <w:bCs/>
        <w:sz w:val="20"/>
        <w:szCs w:val="20"/>
      </w:rPr>
      <w:t xml:space="preserve">Faculty of Archaeology, Ain Shams University, Egypt, </w:t>
    </w:r>
    <w:r w:rsidRPr="005C1DEE">
      <w:rPr>
        <w:rFonts w:ascii="Times New Roman" w:hAnsi="Times New Roman" w:cs="Times New Roman"/>
        <w:b/>
        <w:bCs/>
        <w:sz w:val="20"/>
        <w:szCs w:val="20"/>
        <w:lang w:bidi="ar-EG"/>
      </w:rPr>
      <w:t xml:space="preserve">IWNW, Vol. </w:t>
    </w:r>
    <w:r w:rsidR="00947142">
      <w:rPr>
        <w:rFonts w:ascii="Times New Roman" w:hAnsi="Times New Roman" w:cs="Times New Roman"/>
        <w:b/>
        <w:bCs/>
        <w:sz w:val="20"/>
        <w:szCs w:val="20"/>
        <w:lang w:bidi="ar-EG"/>
      </w:rPr>
      <w:t>5</w:t>
    </w:r>
    <w:r w:rsidRPr="005C1DEE">
      <w:rPr>
        <w:rFonts w:ascii="Times New Roman" w:hAnsi="Times New Roman" w:cs="Times New Roman"/>
        <w:b/>
        <w:bCs/>
        <w:sz w:val="20"/>
        <w:szCs w:val="20"/>
        <w:lang w:bidi="ar-EG"/>
      </w:rPr>
      <w:t xml:space="preserve"> (202</w:t>
    </w:r>
    <w:r w:rsidR="00947142">
      <w:rPr>
        <w:rFonts w:ascii="Times New Roman" w:hAnsi="Times New Roman" w:cs="Times New Roman"/>
        <w:b/>
        <w:bCs/>
        <w:sz w:val="20"/>
        <w:szCs w:val="20"/>
        <w:lang w:bidi="ar-EG"/>
      </w:rPr>
      <w:t>6</w:t>
    </w:r>
    <w:r w:rsidRPr="005C1DEE">
      <w:rPr>
        <w:rFonts w:ascii="Times New Roman" w:hAnsi="Times New Roman" w:cs="Times New Roman"/>
        <w:b/>
        <w:bCs/>
        <w:sz w:val="20"/>
        <w:szCs w:val="20"/>
        <w:lang w:bidi="ar-EG"/>
      </w:rPr>
      <w:t>)</w:t>
    </w:r>
    <w:r w:rsidRPr="005C1DEE">
      <w:rPr>
        <w:rFonts w:ascii="Times New Roman" w:hAnsi="Times New Roman" w:cs="Times New Roman"/>
        <w:b/>
        <w:bCs/>
        <w:sz w:val="20"/>
        <w:szCs w:val="20"/>
        <w:rtl/>
        <w:lang w:bidi="ar-EG"/>
      </w:rPr>
      <w:t>:</w:t>
    </w:r>
    <w:r w:rsidR="00B1457D">
      <w:rPr>
        <w:rFonts w:ascii="Times New Roman" w:hAnsi="Times New Roman" w:cs="Times New Roman"/>
        <w:b/>
        <w:bCs/>
        <w:color w:val="000000"/>
        <w:sz w:val="20"/>
        <w:szCs w:val="20"/>
        <w:highlight w:val="yellow"/>
      </w:rPr>
      <w:t>242</w:t>
    </w:r>
    <w:r w:rsidR="00AB76B2" w:rsidRPr="000E494A">
      <w:rPr>
        <w:rFonts w:ascii="Times New Roman" w:hAnsi="Times New Roman" w:cs="Times New Roman"/>
        <w:b/>
        <w:bCs/>
        <w:color w:val="000000"/>
        <w:sz w:val="20"/>
        <w:szCs w:val="20"/>
        <w:highlight w:val="yellow"/>
      </w:rPr>
      <w:t>-</w:t>
    </w:r>
    <w:r w:rsidR="00B1457D">
      <w:rPr>
        <w:rFonts w:ascii="Times New Roman" w:hAnsi="Times New Roman" w:cs="Times New Roman"/>
        <w:b/>
        <w:bCs/>
        <w:color w:val="000000"/>
        <w:sz w:val="20"/>
        <w:szCs w:val="20"/>
        <w:highlight w:val="yellow"/>
      </w:rPr>
      <w:t>00</w:t>
    </w:r>
    <w:r w:rsidR="007C7CD3" w:rsidRPr="000E494A">
      <w:rPr>
        <w:rFonts w:ascii="Times New Roman" w:hAnsi="Times New Roman" w:cs="Times New Roman"/>
        <w:b/>
        <w:bCs/>
        <w:color w:val="000000"/>
        <w:sz w:val="20"/>
        <w:szCs w:val="20"/>
        <w:highlight w:val="yellow"/>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jc w:val="center"/>
      <w:tblLayout w:type="fixed"/>
      <w:tblLook w:val="04A0" w:firstRow="1" w:lastRow="0" w:firstColumn="1" w:lastColumn="0" w:noHBand="0" w:noVBand="1"/>
    </w:tblPr>
    <w:tblGrid>
      <w:gridCol w:w="2411"/>
      <w:gridCol w:w="3969"/>
      <w:gridCol w:w="2693"/>
    </w:tblGrid>
    <w:tr w:rsidR="000434A1" w:rsidRPr="002B6D60" w14:paraId="51DA7C9D" w14:textId="77777777" w:rsidTr="002B6D60">
      <w:trPr>
        <w:jc w:val="center"/>
      </w:trPr>
      <w:tc>
        <w:tcPr>
          <w:tcW w:w="2411" w:type="dxa"/>
        </w:tcPr>
        <w:p w14:paraId="0FB529BF" w14:textId="77777777" w:rsidR="000434A1" w:rsidRPr="002B6D60" w:rsidRDefault="00D535CB" w:rsidP="002B6D60">
          <w:pPr>
            <w:ind w:firstLine="0"/>
            <w:jc w:val="center"/>
            <w:rPr>
              <w:rFonts w:ascii="Times New Roman" w:hAnsi="Times New Roman" w:cs="Times New Roman"/>
              <w:color w:val="000000"/>
              <w:sz w:val="26"/>
              <w:szCs w:val="26"/>
            </w:rPr>
          </w:pPr>
          <w:r w:rsidRPr="00EB3447">
            <w:rPr>
              <w:rFonts w:ascii="Simplified Arabic" w:hAnsi="Simplified Arabic" w:cs="Simplified Arabic"/>
              <w:noProof/>
              <w:sz w:val="32"/>
              <w:szCs w:val="32"/>
            </w:rPr>
            <w:drawing>
              <wp:inline distT="0" distB="0" distL="0" distR="0" wp14:anchorId="7907E3E6" wp14:editId="3EBEDDD3">
                <wp:extent cx="1257300" cy="774700"/>
                <wp:effectExtent l="0" t="0" r="0" b="0"/>
                <wp:docPr id="6" name="Picture 1841080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10801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74700"/>
                        </a:xfrm>
                        <a:prstGeom prst="rect">
                          <a:avLst/>
                        </a:prstGeom>
                        <a:noFill/>
                        <a:ln>
                          <a:noFill/>
                        </a:ln>
                      </pic:spPr>
                    </pic:pic>
                  </a:graphicData>
                </a:graphic>
              </wp:inline>
            </w:drawing>
          </w:r>
        </w:p>
      </w:tc>
      <w:tc>
        <w:tcPr>
          <w:tcW w:w="3969" w:type="dxa"/>
        </w:tcPr>
        <w:p w14:paraId="340F5024" w14:textId="77777777" w:rsidR="000434A1" w:rsidRPr="002B6D60" w:rsidRDefault="00D535CB" w:rsidP="002B6D60">
          <w:pPr>
            <w:ind w:firstLine="0"/>
            <w:jc w:val="center"/>
            <w:rPr>
              <w:rFonts w:ascii="Times New Roman" w:hAnsi="Times New Roman" w:cs="Times New Roman"/>
              <w:color w:val="000000"/>
              <w:sz w:val="26"/>
              <w:szCs w:val="26"/>
            </w:rPr>
          </w:pPr>
          <w:r w:rsidRPr="002B6D60">
            <w:rPr>
              <w:noProof/>
              <w:sz w:val="20"/>
              <w:szCs w:val="20"/>
            </w:rPr>
            <w:drawing>
              <wp:inline distT="0" distB="0" distL="0" distR="0" wp14:anchorId="3B50B774" wp14:editId="229AA1C7">
                <wp:extent cx="1638300" cy="520700"/>
                <wp:effectExtent l="0" t="0" r="0" b="0"/>
                <wp:docPr id="7" name="Picture 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20700"/>
                        </a:xfrm>
                        <a:prstGeom prst="rect">
                          <a:avLst/>
                        </a:prstGeom>
                        <a:noFill/>
                        <a:ln>
                          <a:noFill/>
                        </a:ln>
                      </pic:spPr>
                    </pic:pic>
                  </a:graphicData>
                </a:graphic>
              </wp:inline>
            </w:drawing>
          </w:r>
        </w:p>
        <w:p w14:paraId="4A82410E" w14:textId="742F9E26" w:rsidR="000434A1" w:rsidRPr="002B6D60" w:rsidRDefault="000434A1" w:rsidP="002B6D60">
          <w:pPr>
            <w:ind w:firstLine="0"/>
            <w:jc w:val="center"/>
            <w:rPr>
              <w:rFonts w:ascii="Times New Roman" w:hAnsi="Times New Roman" w:cs="Times New Roman"/>
              <w:b/>
              <w:bCs/>
              <w:color w:val="000000"/>
              <w:sz w:val="26"/>
              <w:szCs w:val="26"/>
            </w:rPr>
          </w:pPr>
          <w:r w:rsidRPr="002B6D60">
            <w:rPr>
              <w:rFonts w:ascii="Times New Roman" w:hAnsi="Times New Roman" w:cs="Times New Roman"/>
              <w:b/>
              <w:bCs/>
              <w:color w:val="000000"/>
              <w:sz w:val="28"/>
              <w:szCs w:val="28"/>
            </w:rPr>
            <w:t xml:space="preserve">IWNW, Vol. </w:t>
          </w:r>
          <w:r w:rsidR="00DD660F">
            <w:rPr>
              <w:rFonts w:ascii="Times New Roman" w:hAnsi="Times New Roman" w:cs="Times New Roman"/>
              <w:b/>
              <w:bCs/>
              <w:color w:val="000000"/>
              <w:sz w:val="28"/>
              <w:szCs w:val="28"/>
            </w:rPr>
            <w:t>5</w:t>
          </w:r>
          <w:r w:rsidRPr="002B6D60">
            <w:rPr>
              <w:rFonts w:ascii="Times New Roman" w:hAnsi="Times New Roman" w:cs="Times New Roman"/>
              <w:b/>
              <w:bCs/>
              <w:color w:val="000000"/>
              <w:sz w:val="28"/>
              <w:szCs w:val="28"/>
            </w:rPr>
            <w:t xml:space="preserve"> (202</w:t>
          </w:r>
          <w:r w:rsidR="00DD660F">
            <w:rPr>
              <w:rFonts w:ascii="Times New Roman" w:hAnsi="Times New Roman" w:cs="Times New Roman"/>
              <w:b/>
              <w:bCs/>
              <w:color w:val="000000"/>
              <w:sz w:val="28"/>
              <w:szCs w:val="28"/>
            </w:rPr>
            <w:t>6</w:t>
          </w:r>
          <w:r w:rsidRPr="002B6D60">
            <w:rPr>
              <w:rFonts w:ascii="Times New Roman" w:hAnsi="Times New Roman" w:cs="Times New Roman"/>
              <w:b/>
              <w:bCs/>
              <w:color w:val="000000"/>
              <w:sz w:val="28"/>
              <w:szCs w:val="28"/>
            </w:rPr>
            <w:t>)</w:t>
          </w:r>
          <w:r w:rsidRPr="002B6D60">
            <w:rPr>
              <w:rFonts w:ascii="Times New Roman" w:hAnsi="Times New Roman" w:cs="Times New Roman"/>
              <w:b/>
              <w:bCs/>
              <w:color w:val="000000"/>
              <w:sz w:val="28"/>
              <w:szCs w:val="28"/>
              <w:rtl/>
            </w:rPr>
            <w:t>:</w:t>
          </w:r>
          <w:r w:rsidRPr="002B6D60">
            <w:rPr>
              <w:rFonts w:ascii="Times New Roman" w:hAnsi="Times New Roman" w:cs="Times New Roman"/>
              <w:b/>
              <w:bCs/>
              <w:color w:val="000000"/>
              <w:sz w:val="28"/>
              <w:szCs w:val="28"/>
            </w:rPr>
            <w:t xml:space="preserve"> </w:t>
          </w:r>
          <w:r w:rsidR="00953081">
            <w:rPr>
              <w:rFonts w:ascii="Times New Roman" w:hAnsi="Times New Roman" w:cs="Times New Roman"/>
              <w:b/>
              <w:bCs/>
              <w:color w:val="000000"/>
              <w:sz w:val="28"/>
              <w:szCs w:val="28"/>
              <w:highlight w:val="yellow"/>
            </w:rPr>
            <w:t>242</w:t>
          </w:r>
          <w:r w:rsidRPr="000E494A">
            <w:rPr>
              <w:rFonts w:ascii="Times New Roman" w:hAnsi="Times New Roman" w:cs="Times New Roman"/>
              <w:b/>
              <w:bCs/>
              <w:color w:val="000000"/>
              <w:sz w:val="28"/>
              <w:szCs w:val="28"/>
              <w:highlight w:val="yellow"/>
            </w:rPr>
            <w:t>-</w:t>
          </w:r>
          <w:r w:rsidR="00953081">
            <w:rPr>
              <w:rFonts w:ascii="Times New Roman" w:hAnsi="Times New Roman" w:cs="Times New Roman"/>
              <w:b/>
              <w:bCs/>
              <w:color w:val="000000"/>
              <w:sz w:val="28"/>
              <w:szCs w:val="28"/>
              <w:highlight w:val="yellow"/>
            </w:rPr>
            <w:t>00</w:t>
          </w:r>
          <w:r w:rsidR="007C7CD3" w:rsidRPr="000E494A">
            <w:rPr>
              <w:rFonts w:ascii="Times New Roman" w:hAnsi="Times New Roman" w:cs="Times New Roman"/>
              <w:b/>
              <w:bCs/>
              <w:color w:val="000000"/>
              <w:sz w:val="28"/>
              <w:szCs w:val="28"/>
              <w:highlight w:val="yellow"/>
            </w:rPr>
            <w:t>0</w:t>
          </w:r>
        </w:p>
      </w:tc>
      <w:tc>
        <w:tcPr>
          <w:tcW w:w="2693" w:type="dxa"/>
        </w:tcPr>
        <w:p w14:paraId="020696F9" w14:textId="77777777" w:rsidR="000434A1" w:rsidRPr="002B6D60" w:rsidRDefault="00D535CB" w:rsidP="002B6D60">
          <w:pPr>
            <w:ind w:firstLine="0"/>
            <w:jc w:val="center"/>
            <w:rPr>
              <w:rFonts w:ascii="Times New Roman" w:hAnsi="Times New Roman" w:cs="Times New Roman"/>
              <w:color w:val="000000"/>
              <w:sz w:val="26"/>
              <w:szCs w:val="26"/>
            </w:rPr>
          </w:pPr>
          <w:r>
            <w:rPr>
              <w:noProof/>
            </w:rPr>
            <w:drawing>
              <wp:anchor distT="0" distB="0" distL="114300" distR="114300" simplePos="0" relativeHeight="251657728" behindDoc="0" locked="0" layoutInCell="1" allowOverlap="1" wp14:anchorId="213D1175" wp14:editId="3ED377E4">
                <wp:simplePos x="0" y="0"/>
                <wp:positionH relativeFrom="column">
                  <wp:posOffset>116205</wp:posOffset>
                </wp:positionH>
                <wp:positionV relativeFrom="paragraph">
                  <wp:posOffset>114300</wp:posOffset>
                </wp:positionV>
                <wp:extent cx="1203960" cy="716280"/>
                <wp:effectExtent l="0" t="0" r="0" b="0"/>
                <wp:wrapNone/>
                <wp:docPr id="847866260" name="Picture 585660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5660762"/>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5EB68AE" w14:textId="77777777" w:rsidR="000434A1" w:rsidRDefault="0004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15:restartNumberingAfterBreak="0">
    <w:nsid w:val="00000003"/>
    <w:multiLevelType w:val="multilevel"/>
    <w:tmpl w:val="00000003"/>
    <w:name w:val="WWNum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4"/>
    <w:multiLevelType w:val="multilevel"/>
    <w:tmpl w:val="00000004"/>
    <w:name w:val="WWNum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00000006"/>
    <w:name w:val="WWNum12"/>
    <w:lvl w:ilvl="0">
      <w:start w:val="1"/>
      <w:numFmt w:val="decimal"/>
      <w:lvlText w:val="(%1)"/>
      <w:lvlJc w:val="left"/>
      <w:pPr>
        <w:tabs>
          <w:tab w:val="num" w:pos="0"/>
        </w:tabs>
        <w:ind w:left="7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A09073A"/>
    <w:multiLevelType w:val="hybridMultilevel"/>
    <w:tmpl w:val="B81A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24581">
    <w:abstractNumId w:val="0"/>
  </w:num>
  <w:num w:numId="2" w16cid:durableId="39941255">
    <w:abstractNumId w:val="1"/>
  </w:num>
  <w:num w:numId="3" w16cid:durableId="983661879">
    <w:abstractNumId w:val="2"/>
  </w:num>
  <w:num w:numId="4" w16cid:durableId="1840844491">
    <w:abstractNumId w:val="3"/>
  </w:num>
  <w:num w:numId="5" w16cid:durableId="786508425">
    <w:abstractNumId w:val="4"/>
  </w:num>
  <w:num w:numId="6" w16cid:durableId="18147853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F3"/>
    <w:rsid w:val="00001A01"/>
    <w:rsid w:val="00001DC4"/>
    <w:rsid w:val="000031E6"/>
    <w:rsid w:val="000071F3"/>
    <w:rsid w:val="00012CBE"/>
    <w:rsid w:val="00014BEC"/>
    <w:rsid w:val="00015064"/>
    <w:rsid w:val="00015716"/>
    <w:rsid w:val="000163D8"/>
    <w:rsid w:val="00017AF3"/>
    <w:rsid w:val="0002268E"/>
    <w:rsid w:val="00022A47"/>
    <w:rsid w:val="00026B8B"/>
    <w:rsid w:val="00030D20"/>
    <w:rsid w:val="0003196A"/>
    <w:rsid w:val="00032F71"/>
    <w:rsid w:val="00033A5C"/>
    <w:rsid w:val="000340BE"/>
    <w:rsid w:val="000377E7"/>
    <w:rsid w:val="00037F5D"/>
    <w:rsid w:val="0004005E"/>
    <w:rsid w:val="000403D3"/>
    <w:rsid w:val="000434A1"/>
    <w:rsid w:val="00044ED8"/>
    <w:rsid w:val="000504CD"/>
    <w:rsid w:val="00051ABB"/>
    <w:rsid w:val="00052CCB"/>
    <w:rsid w:val="00052FBB"/>
    <w:rsid w:val="000542FE"/>
    <w:rsid w:val="00054862"/>
    <w:rsid w:val="0005491A"/>
    <w:rsid w:val="00054A0C"/>
    <w:rsid w:val="00056A5E"/>
    <w:rsid w:val="000603A2"/>
    <w:rsid w:val="000605CE"/>
    <w:rsid w:val="000672FE"/>
    <w:rsid w:val="00067D34"/>
    <w:rsid w:val="00071B6D"/>
    <w:rsid w:val="00072413"/>
    <w:rsid w:val="00072B8D"/>
    <w:rsid w:val="00072CD1"/>
    <w:rsid w:val="0007331C"/>
    <w:rsid w:val="000761E9"/>
    <w:rsid w:val="0007723A"/>
    <w:rsid w:val="000820E6"/>
    <w:rsid w:val="00083233"/>
    <w:rsid w:val="0008327C"/>
    <w:rsid w:val="000845F5"/>
    <w:rsid w:val="00087DCE"/>
    <w:rsid w:val="00090BFB"/>
    <w:rsid w:val="00090E91"/>
    <w:rsid w:val="00095D82"/>
    <w:rsid w:val="000A00E2"/>
    <w:rsid w:val="000A026F"/>
    <w:rsid w:val="000A0359"/>
    <w:rsid w:val="000A167E"/>
    <w:rsid w:val="000A1A23"/>
    <w:rsid w:val="000A1B50"/>
    <w:rsid w:val="000A2696"/>
    <w:rsid w:val="000A5B06"/>
    <w:rsid w:val="000A5EE1"/>
    <w:rsid w:val="000A7E12"/>
    <w:rsid w:val="000B0B63"/>
    <w:rsid w:val="000B0CD5"/>
    <w:rsid w:val="000B1F15"/>
    <w:rsid w:val="000B3CE0"/>
    <w:rsid w:val="000B3E2E"/>
    <w:rsid w:val="000B3F41"/>
    <w:rsid w:val="000B4544"/>
    <w:rsid w:val="000B4CE6"/>
    <w:rsid w:val="000B7511"/>
    <w:rsid w:val="000B7D77"/>
    <w:rsid w:val="000C36F0"/>
    <w:rsid w:val="000C4D2A"/>
    <w:rsid w:val="000C5153"/>
    <w:rsid w:val="000C76D6"/>
    <w:rsid w:val="000D7608"/>
    <w:rsid w:val="000E43BE"/>
    <w:rsid w:val="000E494A"/>
    <w:rsid w:val="000E5793"/>
    <w:rsid w:val="000F04E8"/>
    <w:rsid w:val="000F1CCA"/>
    <w:rsid w:val="000F2226"/>
    <w:rsid w:val="000F3E97"/>
    <w:rsid w:val="000F79A9"/>
    <w:rsid w:val="001002AF"/>
    <w:rsid w:val="001005C0"/>
    <w:rsid w:val="001036EA"/>
    <w:rsid w:val="00104A5F"/>
    <w:rsid w:val="0010788D"/>
    <w:rsid w:val="00114167"/>
    <w:rsid w:val="00114371"/>
    <w:rsid w:val="0011530B"/>
    <w:rsid w:val="00115D3D"/>
    <w:rsid w:val="0011664C"/>
    <w:rsid w:val="00116741"/>
    <w:rsid w:val="0012002B"/>
    <w:rsid w:val="00120EC4"/>
    <w:rsid w:val="00124EDE"/>
    <w:rsid w:val="0012650E"/>
    <w:rsid w:val="00126821"/>
    <w:rsid w:val="001276DC"/>
    <w:rsid w:val="0012794C"/>
    <w:rsid w:val="001300CE"/>
    <w:rsid w:val="00131CFD"/>
    <w:rsid w:val="00133368"/>
    <w:rsid w:val="0013408E"/>
    <w:rsid w:val="00135514"/>
    <w:rsid w:val="00140496"/>
    <w:rsid w:val="00140C76"/>
    <w:rsid w:val="00143D70"/>
    <w:rsid w:val="00144773"/>
    <w:rsid w:val="001452D1"/>
    <w:rsid w:val="00145DA5"/>
    <w:rsid w:val="00146762"/>
    <w:rsid w:val="0014717B"/>
    <w:rsid w:val="00147D7C"/>
    <w:rsid w:val="001502CF"/>
    <w:rsid w:val="001537EB"/>
    <w:rsid w:val="00154FFE"/>
    <w:rsid w:val="0015693C"/>
    <w:rsid w:val="00156C09"/>
    <w:rsid w:val="00157F85"/>
    <w:rsid w:val="00161E8D"/>
    <w:rsid w:val="001630B0"/>
    <w:rsid w:val="00163D2D"/>
    <w:rsid w:val="00164C4C"/>
    <w:rsid w:val="00165572"/>
    <w:rsid w:val="00165742"/>
    <w:rsid w:val="00165CF1"/>
    <w:rsid w:val="00167051"/>
    <w:rsid w:val="0017116F"/>
    <w:rsid w:val="001715D7"/>
    <w:rsid w:val="001722A8"/>
    <w:rsid w:val="001724C4"/>
    <w:rsid w:val="00174B05"/>
    <w:rsid w:val="00175B63"/>
    <w:rsid w:val="00177D39"/>
    <w:rsid w:val="0018174E"/>
    <w:rsid w:val="001824FA"/>
    <w:rsid w:val="00182F56"/>
    <w:rsid w:val="00183A0E"/>
    <w:rsid w:val="001860EF"/>
    <w:rsid w:val="001909AD"/>
    <w:rsid w:val="00192574"/>
    <w:rsid w:val="001930F0"/>
    <w:rsid w:val="001938FE"/>
    <w:rsid w:val="00197CF6"/>
    <w:rsid w:val="001A0A66"/>
    <w:rsid w:val="001A5FE3"/>
    <w:rsid w:val="001A6EA5"/>
    <w:rsid w:val="001B0BF8"/>
    <w:rsid w:val="001B5416"/>
    <w:rsid w:val="001B6AAA"/>
    <w:rsid w:val="001C1CB9"/>
    <w:rsid w:val="001C3361"/>
    <w:rsid w:val="001C377E"/>
    <w:rsid w:val="001C6A67"/>
    <w:rsid w:val="001C728D"/>
    <w:rsid w:val="001D05D9"/>
    <w:rsid w:val="001D1DF8"/>
    <w:rsid w:val="001D3AD4"/>
    <w:rsid w:val="001D7809"/>
    <w:rsid w:val="001E143F"/>
    <w:rsid w:val="001E21D1"/>
    <w:rsid w:val="001E2A1F"/>
    <w:rsid w:val="001E4032"/>
    <w:rsid w:val="001E664E"/>
    <w:rsid w:val="001F0423"/>
    <w:rsid w:val="001F11D3"/>
    <w:rsid w:val="001F5F6A"/>
    <w:rsid w:val="002029C1"/>
    <w:rsid w:val="00202C8A"/>
    <w:rsid w:val="002030FF"/>
    <w:rsid w:val="00205B5E"/>
    <w:rsid w:val="00207C2F"/>
    <w:rsid w:val="00210C91"/>
    <w:rsid w:val="00211E1F"/>
    <w:rsid w:val="002163BF"/>
    <w:rsid w:val="00217A08"/>
    <w:rsid w:val="0022563F"/>
    <w:rsid w:val="00225CED"/>
    <w:rsid w:val="002261DB"/>
    <w:rsid w:val="002268A8"/>
    <w:rsid w:val="00227ACE"/>
    <w:rsid w:val="00230CAE"/>
    <w:rsid w:val="0023286E"/>
    <w:rsid w:val="00234488"/>
    <w:rsid w:val="00234D4E"/>
    <w:rsid w:val="0023539C"/>
    <w:rsid w:val="00236447"/>
    <w:rsid w:val="00242B4B"/>
    <w:rsid w:val="00243DB9"/>
    <w:rsid w:val="002442DB"/>
    <w:rsid w:val="002448CA"/>
    <w:rsid w:val="00246F39"/>
    <w:rsid w:val="002500A0"/>
    <w:rsid w:val="00251DB7"/>
    <w:rsid w:val="00253A11"/>
    <w:rsid w:val="00253E6E"/>
    <w:rsid w:val="002644D5"/>
    <w:rsid w:val="0026489F"/>
    <w:rsid w:val="00271302"/>
    <w:rsid w:val="00272257"/>
    <w:rsid w:val="00272387"/>
    <w:rsid w:val="00274784"/>
    <w:rsid w:val="002760F9"/>
    <w:rsid w:val="00277A5B"/>
    <w:rsid w:val="0028058C"/>
    <w:rsid w:val="002815A9"/>
    <w:rsid w:val="002817A5"/>
    <w:rsid w:val="00283A21"/>
    <w:rsid w:val="00284C85"/>
    <w:rsid w:val="00287AF3"/>
    <w:rsid w:val="00287CF1"/>
    <w:rsid w:val="00291EE2"/>
    <w:rsid w:val="0029278E"/>
    <w:rsid w:val="00293A28"/>
    <w:rsid w:val="00297E0E"/>
    <w:rsid w:val="002A0DD4"/>
    <w:rsid w:val="002A3267"/>
    <w:rsid w:val="002A4955"/>
    <w:rsid w:val="002B6858"/>
    <w:rsid w:val="002B6D60"/>
    <w:rsid w:val="002B6ECC"/>
    <w:rsid w:val="002B7024"/>
    <w:rsid w:val="002B7B2E"/>
    <w:rsid w:val="002C01D8"/>
    <w:rsid w:val="002C079A"/>
    <w:rsid w:val="002C1F7D"/>
    <w:rsid w:val="002C3D95"/>
    <w:rsid w:val="002C4B96"/>
    <w:rsid w:val="002C4D8D"/>
    <w:rsid w:val="002C5490"/>
    <w:rsid w:val="002D2BEE"/>
    <w:rsid w:val="002D3076"/>
    <w:rsid w:val="002E5770"/>
    <w:rsid w:val="002E59E2"/>
    <w:rsid w:val="002E59EB"/>
    <w:rsid w:val="002F1222"/>
    <w:rsid w:val="002F2864"/>
    <w:rsid w:val="002F4689"/>
    <w:rsid w:val="002F482B"/>
    <w:rsid w:val="002F48A4"/>
    <w:rsid w:val="002F5220"/>
    <w:rsid w:val="002F68A0"/>
    <w:rsid w:val="00302951"/>
    <w:rsid w:val="00302C4A"/>
    <w:rsid w:val="00303148"/>
    <w:rsid w:val="00303805"/>
    <w:rsid w:val="00310458"/>
    <w:rsid w:val="00310678"/>
    <w:rsid w:val="00310C43"/>
    <w:rsid w:val="0031295C"/>
    <w:rsid w:val="0031410A"/>
    <w:rsid w:val="0031508C"/>
    <w:rsid w:val="0031568E"/>
    <w:rsid w:val="00320C5A"/>
    <w:rsid w:val="00322D2D"/>
    <w:rsid w:val="003236AE"/>
    <w:rsid w:val="003248EA"/>
    <w:rsid w:val="0032531C"/>
    <w:rsid w:val="0032592F"/>
    <w:rsid w:val="00327E85"/>
    <w:rsid w:val="003326A8"/>
    <w:rsid w:val="003378A4"/>
    <w:rsid w:val="00337B52"/>
    <w:rsid w:val="003408B7"/>
    <w:rsid w:val="00341412"/>
    <w:rsid w:val="0034399A"/>
    <w:rsid w:val="0034437F"/>
    <w:rsid w:val="00347992"/>
    <w:rsid w:val="00347DFF"/>
    <w:rsid w:val="00347FA2"/>
    <w:rsid w:val="003522B7"/>
    <w:rsid w:val="003524B9"/>
    <w:rsid w:val="003552CB"/>
    <w:rsid w:val="003628FB"/>
    <w:rsid w:val="003635E1"/>
    <w:rsid w:val="00367338"/>
    <w:rsid w:val="00367FB5"/>
    <w:rsid w:val="003700D4"/>
    <w:rsid w:val="00370172"/>
    <w:rsid w:val="00371C89"/>
    <w:rsid w:val="00375AD2"/>
    <w:rsid w:val="00384774"/>
    <w:rsid w:val="003867B4"/>
    <w:rsid w:val="00390E65"/>
    <w:rsid w:val="0039145E"/>
    <w:rsid w:val="00392001"/>
    <w:rsid w:val="00397EFC"/>
    <w:rsid w:val="003A02C9"/>
    <w:rsid w:val="003A049F"/>
    <w:rsid w:val="003A1514"/>
    <w:rsid w:val="003A1D0E"/>
    <w:rsid w:val="003A4893"/>
    <w:rsid w:val="003A5415"/>
    <w:rsid w:val="003A56AE"/>
    <w:rsid w:val="003A5DBF"/>
    <w:rsid w:val="003A6152"/>
    <w:rsid w:val="003A61A1"/>
    <w:rsid w:val="003B1677"/>
    <w:rsid w:val="003B2070"/>
    <w:rsid w:val="003B4963"/>
    <w:rsid w:val="003C486C"/>
    <w:rsid w:val="003D5088"/>
    <w:rsid w:val="003D6073"/>
    <w:rsid w:val="003D7817"/>
    <w:rsid w:val="003E0C5E"/>
    <w:rsid w:val="003E23F1"/>
    <w:rsid w:val="003E51D1"/>
    <w:rsid w:val="003E6BD0"/>
    <w:rsid w:val="003F0DDC"/>
    <w:rsid w:val="003F27EB"/>
    <w:rsid w:val="003F42E0"/>
    <w:rsid w:val="003F4352"/>
    <w:rsid w:val="003F77E2"/>
    <w:rsid w:val="00405C15"/>
    <w:rsid w:val="00406B37"/>
    <w:rsid w:val="00407235"/>
    <w:rsid w:val="00412AFB"/>
    <w:rsid w:val="00413894"/>
    <w:rsid w:val="004148FE"/>
    <w:rsid w:val="00420C32"/>
    <w:rsid w:val="00420C73"/>
    <w:rsid w:val="00423A6C"/>
    <w:rsid w:val="00425B7E"/>
    <w:rsid w:val="00427566"/>
    <w:rsid w:val="004314AC"/>
    <w:rsid w:val="0043176E"/>
    <w:rsid w:val="00431CB5"/>
    <w:rsid w:val="00432567"/>
    <w:rsid w:val="00433F2E"/>
    <w:rsid w:val="004347C7"/>
    <w:rsid w:val="00440451"/>
    <w:rsid w:val="00441CB8"/>
    <w:rsid w:val="00442A8C"/>
    <w:rsid w:val="00443B97"/>
    <w:rsid w:val="00445F62"/>
    <w:rsid w:val="0044618E"/>
    <w:rsid w:val="004461C6"/>
    <w:rsid w:val="00446291"/>
    <w:rsid w:val="004529A8"/>
    <w:rsid w:val="00453DBE"/>
    <w:rsid w:val="00454D8E"/>
    <w:rsid w:val="00457141"/>
    <w:rsid w:val="00457432"/>
    <w:rsid w:val="0046303F"/>
    <w:rsid w:val="004658DD"/>
    <w:rsid w:val="00466237"/>
    <w:rsid w:val="004666A3"/>
    <w:rsid w:val="004723C2"/>
    <w:rsid w:val="004734CF"/>
    <w:rsid w:val="004737D5"/>
    <w:rsid w:val="00481424"/>
    <w:rsid w:val="004836A0"/>
    <w:rsid w:val="0048685E"/>
    <w:rsid w:val="00487606"/>
    <w:rsid w:val="00492C6E"/>
    <w:rsid w:val="0049434E"/>
    <w:rsid w:val="00494628"/>
    <w:rsid w:val="00494BDA"/>
    <w:rsid w:val="004951DD"/>
    <w:rsid w:val="00497CBE"/>
    <w:rsid w:val="004A1F32"/>
    <w:rsid w:val="004A35BF"/>
    <w:rsid w:val="004A3631"/>
    <w:rsid w:val="004A43B4"/>
    <w:rsid w:val="004A621B"/>
    <w:rsid w:val="004A6E49"/>
    <w:rsid w:val="004B0892"/>
    <w:rsid w:val="004B2B9A"/>
    <w:rsid w:val="004B4D1E"/>
    <w:rsid w:val="004B57DD"/>
    <w:rsid w:val="004C04F4"/>
    <w:rsid w:val="004C3489"/>
    <w:rsid w:val="004C5D3D"/>
    <w:rsid w:val="004C6384"/>
    <w:rsid w:val="004C728B"/>
    <w:rsid w:val="004D0569"/>
    <w:rsid w:val="004D071A"/>
    <w:rsid w:val="004D1331"/>
    <w:rsid w:val="004D159C"/>
    <w:rsid w:val="004D2C13"/>
    <w:rsid w:val="004D644D"/>
    <w:rsid w:val="004E2BDC"/>
    <w:rsid w:val="004E36EB"/>
    <w:rsid w:val="004E3A56"/>
    <w:rsid w:val="004E3B45"/>
    <w:rsid w:val="004E530F"/>
    <w:rsid w:val="004E5619"/>
    <w:rsid w:val="004E637D"/>
    <w:rsid w:val="004F0D6F"/>
    <w:rsid w:val="004F2543"/>
    <w:rsid w:val="004F3E41"/>
    <w:rsid w:val="004F3F39"/>
    <w:rsid w:val="004F5773"/>
    <w:rsid w:val="005018B6"/>
    <w:rsid w:val="00501A5B"/>
    <w:rsid w:val="0050202A"/>
    <w:rsid w:val="00502F8A"/>
    <w:rsid w:val="00504A76"/>
    <w:rsid w:val="00506E38"/>
    <w:rsid w:val="00512522"/>
    <w:rsid w:val="00516AD4"/>
    <w:rsid w:val="005173F8"/>
    <w:rsid w:val="00517A05"/>
    <w:rsid w:val="00520289"/>
    <w:rsid w:val="00521CFB"/>
    <w:rsid w:val="00523357"/>
    <w:rsid w:val="0052564B"/>
    <w:rsid w:val="005257F4"/>
    <w:rsid w:val="00526C05"/>
    <w:rsid w:val="005277C1"/>
    <w:rsid w:val="005306E7"/>
    <w:rsid w:val="00531870"/>
    <w:rsid w:val="00531E9B"/>
    <w:rsid w:val="005333FA"/>
    <w:rsid w:val="00534B9C"/>
    <w:rsid w:val="0053697F"/>
    <w:rsid w:val="00542159"/>
    <w:rsid w:val="005429DA"/>
    <w:rsid w:val="00542C5B"/>
    <w:rsid w:val="00546FB4"/>
    <w:rsid w:val="00547E8C"/>
    <w:rsid w:val="00551316"/>
    <w:rsid w:val="0055350C"/>
    <w:rsid w:val="005540DB"/>
    <w:rsid w:val="00555248"/>
    <w:rsid w:val="005568E5"/>
    <w:rsid w:val="00557313"/>
    <w:rsid w:val="005577F3"/>
    <w:rsid w:val="005578DD"/>
    <w:rsid w:val="0056592F"/>
    <w:rsid w:val="00572837"/>
    <w:rsid w:val="00573A44"/>
    <w:rsid w:val="00574ECA"/>
    <w:rsid w:val="00576327"/>
    <w:rsid w:val="005763A3"/>
    <w:rsid w:val="00576E7A"/>
    <w:rsid w:val="00581271"/>
    <w:rsid w:val="005816E9"/>
    <w:rsid w:val="00583055"/>
    <w:rsid w:val="00583112"/>
    <w:rsid w:val="00583390"/>
    <w:rsid w:val="00585F8D"/>
    <w:rsid w:val="00586E96"/>
    <w:rsid w:val="00590429"/>
    <w:rsid w:val="00591557"/>
    <w:rsid w:val="005918B7"/>
    <w:rsid w:val="00595973"/>
    <w:rsid w:val="0059789F"/>
    <w:rsid w:val="00597C30"/>
    <w:rsid w:val="005A0EC5"/>
    <w:rsid w:val="005A3201"/>
    <w:rsid w:val="005A383F"/>
    <w:rsid w:val="005B27D3"/>
    <w:rsid w:val="005B39F7"/>
    <w:rsid w:val="005B5925"/>
    <w:rsid w:val="005B6670"/>
    <w:rsid w:val="005C394C"/>
    <w:rsid w:val="005C73C7"/>
    <w:rsid w:val="005D0944"/>
    <w:rsid w:val="005D1215"/>
    <w:rsid w:val="005D2E59"/>
    <w:rsid w:val="005D3944"/>
    <w:rsid w:val="005D424F"/>
    <w:rsid w:val="005D4C3B"/>
    <w:rsid w:val="005D4F2F"/>
    <w:rsid w:val="005D573C"/>
    <w:rsid w:val="005D6DE1"/>
    <w:rsid w:val="005E1F77"/>
    <w:rsid w:val="005E5E2A"/>
    <w:rsid w:val="005E6226"/>
    <w:rsid w:val="005E7104"/>
    <w:rsid w:val="005E779E"/>
    <w:rsid w:val="005F2B51"/>
    <w:rsid w:val="005F392F"/>
    <w:rsid w:val="005F64B3"/>
    <w:rsid w:val="005F79F1"/>
    <w:rsid w:val="005F7CD9"/>
    <w:rsid w:val="005F7DF4"/>
    <w:rsid w:val="006054BE"/>
    <w:rsid w:val="006068B2"/>
    <w:rsid w:val="00606915"/>
    <w:rsid w:val="00610374"/>
    <w:rsid w:val="00610C9D"/>
    <w:rsid w:val="00612A7E"/>
    <w:rsid w:val="0061511E"/>
    <w:rsid w:val="006220E6"/>
    <w:rsid w:val="006225DC"/>
    <w:rsid w:val="006232A3"/>
    <w:rsid w:val="00623594"/>
    <w:rsid w:val="006235F4"/>
    <w:rsid w:val="0063070B"/>
    <w:rsid w:val="00631688"/>
    <w:rsid w:val="00631DEE"/>
    <w:rsid w:val="0063266B"/>
    <w:rsid w:val="006328D4"/>
    <w:rsid w:val="00633E0A"/>
    <w:rsid w:val="006364B6"/>
    <w:rsid w:val="006367A6"/>
    <w:rsid w:val="00636924"/>
    <w:rsid w:val="006370A0"/>
    <w:rsid w:val="0064149C"/>
    <w:rsid w:val="00641BEF"/>
    <w:rsid w:val="00643D8B"/>
    <w:rsid w:val="0064595B"/>
    <w:rsid w:val="00645C21"/>
    <w:rsid w:val="006479C8"/>
    <w:rsid w:val="00651FFA"/>
    <w:rsid w:val="00652815"/>
    <w:rsid w:val="00653D95"/>
    <w:rsid w:val="0065696F"/>
    <w:rsid w:val="00656B66"/>
    <w:rsid w:val="0066285A"/>
    <w:rsid w:val="00663D0B"/>
    <w:rsid w:val="00664C1D"/>
    <w:rsid w:val="0066783E"/>
    <w:rsid w:val="006743E8"/>
    <w:rsid w:val="00674EAE"/>
    <w:rsid w:val="0067722E"/>
    <w:rsid w:val="0068215E"/>
    <w:rsid w:val="006825FA"/>
    <w:rsid w:val="00685DDE"/>
    <w:rsid w:val="00685F98"/>
    <w:rsid w:val="006929B3"/>
    <w:rsid w:val="006937CA"/>
    <w:rsid w:val="006971C6"/>
    <w:rsid w:val="00697BEE"/>
    <w:rsid w:val="006A1A1B"/>
    <w:rsid w:val="006A2568"/>
    <w:rsid w:val="006A25CA"/>
    <w:rsid w:val="006A36CD"/>
    <w:rsid w:val="006B16A3"/>
    <w:rsid w:val="006B2E6E"/>
    <w:rsid w:val="006B511D"/>
    <w:rsid w:val="006B5162"/>
    <w:rsid w:val="006B576A"/>
    <w:rsid w:val="006B5CBB"/>
    <w:rsid w:val="006B6877"/>
    <w:rsid w:val="006C01EB"/>
    <w:rsid w:val="006C1C10"/>
    <w:rsid w:val="006C20CB"/>
    <w:rsid w:val="006C3222"/>
    <w:rsid w:val="006C3A96"/>
    <w:rsid w:val="006C472C"/>
    <w:rsid w:val="006C7491"/>
    <w:rsid w:val="006D157A"/>
    <w:rsid w:val="006D2630"/>
    <w:rsid w:val="006D51E0"/>
    <w:rsid w:val="006D67C2"/>
    <w:rsid w:val="006D79DA"/>
    <w:rsid w:val="006E13C0"/>
    <w:rsid w:val="006E370B"/>
    <w:rsid w:val="006E38A2"/>
    <w:rsid w:val="006E4E86"/>
    <w:rsid w:val="006E7968"/>
    <w:rsid w:val="006E7A81"/>
    <w:rsid w:val="006F2857"/>
    <w:rsid w:val="006F2FF7"/>
    <w:rsid w:val="006F5EB1"/>
    <w:rsid w:val="006F5F21"/>
    <w:rsid w:val="006F7A35"/>
    <w:rsid w:val="007050DE"/>
    <w:rsid w:val="0070751D"/>
    <w:rsid w:val="00711178"/>
    <w:rsid w:val="0071176C"/>
    <w:rsid w:val="0071338F"/>
    <w:rsid w:val="00715E64"/>
    <w:rsid w:val="0071631E"/>
    <w:rsid w:val="00720756"/>
    <w:rsid w:val="007252EC"/>
    <w:rsid w:val="00727F5D"/>
    <w:rsid w:val="007323B3"/>
    <w:rsid w:val="00732ABA"/>
    <w:rsid w:val="00732BB2"/>
    <w:rsid w:val="007332A2"/>
    <w:rsid w:val="00734525"/>
    <w:rsid w:val="00734BB0"/>
    <w:rsid w:val="00737F1F"/>
    <w:rsid w:val="0074095C"/>
    <w:rsid w:val="00741778"/>
    <w:rsid w:val="00745463"/>
    <w:rsid w:val="00753402"/>
    <w:rsid w:val="007543EB"/>
    <w:rsid w:val="00755E16"/>
    <w:rsid w:val="007605E5"/>
    <w:rsid w:val="00763965"/>
    <w:rsid w:val="00763B47"/>
    <w:rsid w:val="0076426D"/>
    <w:rsid w:val="007655A5"/>
    <w:rsid w:val="00765650"/>
    <w:rsid w:val="00767462"/>
    <w:rsid w:val="00767488"/>
    <w:rsid w:val="00767A72"/>
    <w:rsid w:val="00772209"/>
    <w:rsid w:val="00772790"/>
    <w:rsid w:val="00775F12"/>
    <w:rsid w:val="0077784A"/>
    <w:rsid w:val="0078082A"/>
    <w:rsid w:val="007820C0"/>
    <w:rsid w:val="00783EA8"/>
    <w:rsid w:val="007863DE"/>
    <w:rsid w:val="00786E2F"/>
    <w:rsid w:val="00787B04"/>
    <w:rsid w:val="007924D5"/>
    <w:rsid w:val="00796BF7"/>
    <w:rsid w:val="007A26D3"/>
    <w:rsid w:val="007A2ABC"/>
    <w:rsid w:val="007A2BBB"/>
    <w:rsid w:val="007A7DBD"/>
    <w:rsid w:val="007B2A57"/>
    <w:rsid w:val="007B739A"/>
    <w:rsid w:val="007B7826"/>
    <w:rsid w:val="007C0A3C"/>
    <w:rsid w:val="007C3761"/>
    <w:rsid w:val="007C4235"/>
    <w:rsid w:val="007C7CD3"/>
    <w:rsid w:val="007D4063"/>
    <w:rsid w:val="007D50F2"/>
    <w:rsid w:val="007D59D2"/>
    <w:rsid w:val="007E03F5"/>
    <w:rsid w:val="007E07B5"/>
    <w:rsid w:val="007E13D9"/>
    <w:rsid w:val="007E3CAF"/>
    <w:rsid w:val="007E703D"/>
    <w:rsid w:val="007E709B"/>
    <w:rsid w:val="007F2874"/>
    <w:rsid w:val="007F416B"/>
    <w:rsid w:val="00800CBB"/>
    <w:rsid w:val="00806A3E"/>
    <w:rsid w:val="0081176A"/>
    <w:rsid w:val="00812441"/>
    <w:rsid w:val="008136A6"/>
    <w:rsid w:val="00814706"/>
    <w:rsid w:val="008158E4"/>
    <w:rsid w:val="00815960"/>
    <w:rsid w:val="00820E8B"/>
    <w:rsid w:val="008213A4"/>
    <w:rsid w:val="00823FB4"/>
    <w:rsid w:val="008241C7"/>
    <w:rsid w:val="00824B50"/>
    <w:rsid w:val="0082756B"/>
    <w:rsid w:val="00830C8B"/>
    <w:rsid w:val="00832E27"/>
    <w:rsid w:val="008340AB"/>
    <w:rsid w:val="008345B1"/>
    <w:rsid w:val="00834C4D"/>
    <w:rsid w:val="0083755B"/>
    <w:rsid w:val="00837ACD"/>
    <w:rsid w:val="00841493"/>
    <w:rsid w:val="00842E9F"/>
    <w:rsid w:val="00847F7C"/>
    <w:rsid w:val="00851B9E"/>
    <w:rsid w:val="00852A00"/>
    <w:rsid w:val="00855E73"/>
    <w:rsid w:val="0086070D"/>
    <w:rsid w:val="00860F8C"/>
    <w:rsid w:val="00862046"/>
    <w:rsid w:val="0086292C"/>
    <w:rsid w:val="008663D9"/>
    <w:rsid w:val="00870001"/>
    <w:rsid w:val="00870146"/>
    <w:rsid w:val="008709F1"/>
    <w:rsid w:val="00870A96"/>
    <w:rsid w:val="00873EC3"/>
    <w:rsid w:val="008776B4"/>
    <w:rsid w:val="00880111"/>
    <w:rsid w:val="00881923"/>
    <w:rsid w:val="008837DF"/>
    <w:rsid w:val="00885A3E"/>
    <w:rsid w:val="00885BAF"/>
    <w:rsid w:val="00886F54"/>
    <w:rsid w:val="0089281F"/>
    <w:rsid w:val="00892BEF"/>
    <w:rsid w:val="008974A8"/>
    <w:rsid w:val="008A22E4"/>
    <w:rsid w:val="008A2B4C"/>
    <w:rsid w:val="008A3178"/>
    <w:rsid w:val="008A3E42"/>
    <w:rsid w:val="008A6426"/>
    <w:rsid w:val="008A6E1B"/>
    <w:rsid w:val="008A6EDF"/>
    <w:rsid w:val="008A7962"/>
    <w:rsid w:val="008B07A4"/>
    <w:rsid w:val="008B0972"/>
    <w:rsid w:val="008B1448"/>
    <w:rsid w:val="008B31DC"/>
    <w:rsid w:val="008B403A"/>
    <w:rsid w:val="008B7830"/>
    <w:rsid w:val="008C2C98"/>
    <w:rsid w:val="008C5E94"/>
    <w:rsid w:val="008D254C"/>
    <w:rsid w:val="008D36FA"/>
    <w:rsid w:val="008D5552"/>
    <w:rsid w:val="008D61A0"/>
    <w:rsid w:val="008E07DD"/>
    <w:rsid w:val="008E0CF2"/>
    <w:rsid w:val="008E3E9B"/>
    <w:rsid w:val="008E409B"/>
    <w:rsid w:val="008E4E28"/>
    <w:rsid w:val="008F01BE"/>
    <w:rsid w:val="008F4ABA"/>
    <w:rsid w:val="008F5296"/>
    <w:rsid w:val="008F5C93"/>
    <w:rsid w:val="008F7C3D"/>
    <w:rsid w:val="008F7CB9"/>
    <w:rsid w:val="00900A2E"/>
    <w:rsid w:val="009023C8"/>
    <w:rsid w:val="00905102"/>
    <w:rsid w:val="009068BC"/>
    <w:rsid w:val="00907004"/>
    <w:rsid w:val="00910106"/>
    <w:rsid w:val="009118A0"/>
    <w:rsid w:val="00912853"/>
    <w:rsid w:val="00912BE1"/>
    <w:rsid w:val="009167F3"/>
    <w:rsid w:val="00917784"/>
    <w:rsid w:val="00917C96"/>
    <w:rsid w:val="00922C24"/>
    <w:rsid w:val="009238BA"/>
    <w:rsid w:val="00924823"/>
    <w:rsid w:val="00925668"/>
    <w:rsid w:val="0092590D"/>
    <w:rsid w:val="00925FF8"/>
    <w:rsid w:val="00926B4B"/>
    <w:rsid w:val="00927135"/>
    <w:rsid w:val="009271A4"/>
    <w:rsid w:val="009279BF"/>
    <w:rsid w:val="00933BB2"/>
    <w:rsid w:val="00934DA2"/>
    <w:rsid w:val="0093572B"/>
    <w:rsid w:val="00937D40"/>
    <w:rsid w:val="00943FE4"/>
    <w:rsid w:val="00946832"/>
    <w:rsid w:val="00947142"/>
    <w:rsid w:val="00952C86"/>
    <w:rsid w:val="00953081"/>
    <w:rsid w:val="0095379B"/>
    <w:rsid w:val="009539CA"/>
    <w:rsid w:val="0095527D"/>
    <w:rsid w:val="00963DF3"/>
    <w:rsid w:val="00965985"/>
    <w:rsid w:val="00966DB9"/>
    <w:rsid w:val="00970495"/>
    <w:rsid w:val="009724D6"/>
    <w:rsid w:val="0097297D"/>
    <w:rsid w:val="009732E9"/>
    <w:rsid w:val="00976B9E"/>
    <w:rsid w:val="00976E4C"/>
    <w:rsid w:val="009770F1"/>
    <w:rsid w:val="009806BF"/>
    <w:rsid w:val="009808ED"/>
    <w:rsid w:val="00981AF3"/>
    <w:rsid w:val="0098500A"/>
    <w:rsid w:val="00986C8A"/>
    <w:rsid w:val="00987083"/>
    <w:rsid w:val="00987AEA"/>
    <w:rsid w:val="00990E16"/>
    <w:rsid w:val="00991F06"/>
    <w:rsid w:val="009931FE"/>
    <w:rsid w:val="00994076"/>
    <w:rsid w:val="00995D64"/>
    <w:rsid w:val="009964EF"/>
    <w:rsid w:val="00996C98"/>
    <w:rsid w:val="009A1093"/>
    <w:rsid w:val="009A13C8"/>
    <w:rsid w:val="009A1F93"/>
    <w:rsid w:val="009A335F"/>
    <w:rsid w:val="009A3911"/>
    <w:rsid w:val="009A4158"/>
    <w:rsid w:val="009A41FB"/>
    <w:rsid w:val="009A52D5"/>
    <w:rsid w:val="009A5E32"/>
    <w:rsid w:val="009A628F"/>
    <w:rsid w:val="009B0C8E"/>
    <w:rsid w:val="009B49E1"/>
    <w:rsid w:val="009B4ABC"/>
    <w:rsid w:val="009B5C49"/>
    <w:rsid w:val="009B5DDD"/>
    <w:rsid w:val="009B76E7"/>
    <w:rsid w:val="009B77C2"/>
    <w:rsid w:val="009B7B9F"/>
    <w:rsid w:val="009C034E"/>
    <w:rsid w:val="009C09BA"/>
    <w:rsid w:val="009C1D95"/>
    <w:rsid w:val="009C1F67"/>
    <w:rsid w:val="009C2B82"/>
    <w:rsid w:val="009C2F43"/>
    <w:rsid w:val="009C54DE"/>
    <w:rsid w:val="009C6ABF"/>
    <w:rsid w:val="009D3B3D"/>
    <w:rsid w:val="009D3CC6"/>
    <w:rsid w:val="009E14CF"/>
    <w:rsid w:val="009E1B3A"/>
    <w:rsid w:val="009E41D3"/>
    <w:rsid w:val="009E58EF"/>
    <w:rsid w:val="009F14D8"/>
    <w:rsid w:val="009F5492"/>
    <w:rsid w:val="009F6BCA"/>
    <w:rsid w:val="00A0137E"/>
    <w:rsid w:val="00A049E5"/>
    <w:rsid w:val="00A05782"/>
    <w:rsid w:val="00A05D09"/>
    <w:rsid w:val="00A1175A"/>
    <w:rsid w:val="00A11904"/>
    <w:rsid w:val="00A132FB"/>
    <w:rsid w:val="00A20107"/>
    <w:rsid w:val="00A21833"/>
    <w:rsid w:val="00A2467D"/>
    <w:rsid w:val="00A3076E"/>
    <w:rsid w:val="00A33E75"/>
    <w:rsid w:val="00A3524E"/>
    <w:rsid w:val="00A42E55"/>
    <w:rsid w:val="00A440FA"/>
    <w:rsid w:val="00A45681"/>
    <w:rsid w:val="00A45A07"/>
    <w:rsid w:val="00A47CE7"/>
    <w:rsid w:val="00A51454"/>
    <w:rsid w:val="00A5185C"/>
    <w:rsid w:val="00A54DCE"/>
    <w:rsid w:val="00A64479"/>
    <w:rsid w:val="00A65DD1"/>
    <w:rsid w:val="00A664C2"/>
    <w:rsid w:val="00A700E5"/>
    <w:rsid w:val="00A71D3C"/>
    <w:rsid w:val="00A73912"/>
    <w:rsid w:val="00A75A18"/>
    <w:rsid w:val="00A82417"/>
    <w:rsid w:val="00A82874"/>
    <w:rsid w:val="00A84304"/>
    <w:rsid w:val="00A87A0E"/>
    <w:rsid w:val="00A87B85"/>
    <w:rsid w:val="00A87E38"/>
    <w:rsid w:val="00A904D2"/>
    <w:rsid w:val="00A937FB"/>
    <w:rsid w:val="00AA18D1"/>
    <w:rsid w:val="00AA7467"/>
    <w:rsid w:val="00AA788E"/>
    <w:rsid w:val="00AB1136"/>
    <w:rsid w:val="00AB190B"/>
    <w:rsid w:val="00AB2EB8"/>
    <w:rsid w:val="00AB388B"/>
    <w:rsid w:val="00AB40C9"/>
    <w:rsid w:val="00AB76B2"/>
    <w:rsid w:val="00AB7A60"/>
    <w:rsid w:val="00AC1DC4"/>
    <w:rsid w:val="00AC2108"/>
    <w:rsid w:val="00AC3A42"/>
    <w:rsid w:val="00AC50B1"/>
    <w:rsid w:val="00AC69F2"/>
    <w:rsid w:val="00AD1A1D"/>
    <w:rsid w:val="00AD30B8"/>
    <w:rsid w:val="00AD3F84"/>
    <w:rsid w:val="00AD64A1"/>
    <w:rsid w:val="00AE0721"/>
    <w:rsid w:val="00AE17A8"/>
    <w:rsid w:val="00AE1A94"/>
    <w:rsid w:val="00AE2799"/>
    <w:rsid w:val="00AE4B79"/>
    <w:rsid w:val="00AE5C61"/>
    <w:rsid w:val="00AE5E4A"/>
    <w:rsid w:val="00AE79A2"/>
    <w:rsid w:val="00AF16D2"/>
    <w:rsid w:val="00AF185A"/>
    <w:rsid w:val="00AF3250"/>
    <w:rsid w:val="00AF33A6"/>
    <w:rsid w:val="00AF402C"/>
    <w:rsid w:val="00AF7B96"/>
    <w:rsid w:val="00B0088E"/>
    <w:rsid w:val="00B0186A"/>
    <w:rsid w:val="00B02C70"/>
    <w:rsid w:val="00B03DA7"/>
    <w:rsid w:val="00B06658"/>
    <w:rsid w:val="00B06806"/>
    <w:rsid w:val="00B07810"/>
    <w:rsid w:val="00B1457D"/>
    <w:rsid w:val="00B14DD0"/>
    <w:rsid w:val="00B171BB"/>
    <w:rsid w:val="00B176F6"/>
    <w:rsid w:val="00B17C5C"/>
    <w:rsid w:val="00B2142C"/>
    <w:rsid w:val="00B21F16"/>
    <w:rsid w:val="00B2297A"/>
    <w:rsid w:val="00B24312"/>
    <w:rsid w:val="00B251FF"/>
    <w:rsid w:val="00B253AA"/>
    <w:rsid w:val="00B272FA"/>
    <w:rsid w:val="00B34D72"/>
    <w:rsid w:val="00B36563"/>
    <w:rsid w:val="00B36CF3"/>
    <w:rsid w:val="00B36F63"/>
    <w:rsid w:val="00B404EA"/>
    <w:rsid w:val="00B4159D"/>
    <w:rsid w:val="00B41A92"/>
    <w:rsid w:val="00B447FB"/>
    <w:rsid w:val="00B46AC2"/>
    <w:rsid w:val="00B47B31"/>
    <w:rsid w:val="00B520A5"/>
    <w:rsid w:val="00B53D64"/>
    <w:rsid w:val="00B54722"/>
    <w:rsid w:val="00B61129"/>
    <w:rsid w:val="00B662D3"/>
    <w:rsid w:val="00B668A8"/>
    <w:rsid w:val="00B66A91"/>
    <w:rsid w:val="00B70EA7"/>
    <w:rsid w:val="00B70F43"/>
    <w:rsid w:val="00B83DF8"/>
    <w:rsid w:val="00B83F62"/>
    <w:rsid w:val="00B84015"/>
    <w:rsid w:val="00B842B2"/>
    <w:rsid w:val="00B860F1"/>
    <w:rsid w:val="00B90BFA"/>
    <w:rsid w:val="00B913C2"/>
    <w:rsid w:val="00B91EC2"/>
    <w:rsid w:val="00B922E2"/>
    <w:rsid w:val="00B943D9"/>
    <w:rsid w:val="00B96386"/>
    <w:rsid w:val="00BA0328"/>
    <w:rsid w:val="00BA437A"/>
    <w:rsid w:val="00BA46D3"/>
    <w:rsid w:val="00BA6B66"/>
    <w:rsid w:val="00BA7103"/>
    <w:rsid w:val="00BA769A"/>
    <w:rsid w:val="00BB0902"/>
    <w:rsid w:val="00BB3582"/>
    <w:rsid w:val="00BB5D57"/>
    <w:rsid w:val="00BB77F5"/>
    <w:rsid w:val="00BC0790"/>
    <w:rsid w:val="00BC1D32"/>
    <w:rsid w:val="00BC3FB4"/>
    <w:rsid w:val="00BC4DC7"/>
    <w:rsid w:val="00BC51ED"/>
    <w:rsid w:val="00BD0DE8"/>
    <w:rsid w:val="00BD1D7D"/>
    <w:rsid w:val="00BD27FA"/>
    <w:rsid w:val="00BD2D4E"/>
    <w:rsid w:val="00BD316B"/>
    <w:rsid w:val="00BD33B4"/>
    <w:rsid w:val="00BD41E7"/>
    <w:rsid w:val="00BD4B5F"/>
    <w:rsid w:val="00BD556A"/>
    <w:rsid w:val="00BD5A57"/>
    <w:rsid w:val="00BD70A2"/>
    <w:rsid w:val="00BE0DD7"/>
    <w:rsid w:val="00BE0E7F"/>
    <w:rsid w:val="00BE178F"/>
    <w:rsid w:val="00BF05CB"/>
    <w:rsid w:val="00BF5EFE"/>
    <w:rsid w:val="00BF6120"/>
    <w:rsid w:val="00BF64F5"/>
    <w:rsid w:val="00BF6807"/>
    <w:rsid w:val="00C00DF2"/>
    <w:rsid w:val="00C02F18"/>
    <w:rsid w:val="00C03A5E"/>
    <w:rsid w:val="00C106BE"/>
    <w:rsid w:val="00C1179E"/>
    <w:rsid w:val="00C126A1"/>
    <w:rsid w:val="00C12DCC"/>
    <w:rsid w:val="00C14A7C"/>
    <w:rsid w:val="00C14C8F"/>
    <w:rsid w:val="00C165A7"/>
    <w:rsid w:val="00C21C48"/>
    <w:rsid w:val="00C2439B"/>
    <w:rsid w:val="00C268B8"/>
    <w:rsid w:val="00C2721B"/>
    <w:rsid w:val="00C277C6"/>
    <w:rsid w:val="00C33414"/>
    <w:rsid w:val="00C343B5"/>
    <w:rsid w:val="00C35FCF"/>
    <w:rsid w:val="00C40BE1"/>
    <w:rsid w:val="00C44EBA"/>
    <w:rsid w:val="00C45897"/>
    <w:rsid w:val="00C4744E"/>
    <w:rsid w:val="00C4749F"/>
    <w:rsid w:val="00C52163"/>
    <w:rsid w:val="00C53AB3"/>
    <w:rsid w:val="00C57B4B"/>
    <w:rsid w:val="00C638E8"/>
    <w:rsid w:val="00C63D3E"/>
    <w:rsid w:val="00C66F52"/>
    <w:rsid w:val="00C71591"/>
    <w:rsid w:val="00C73F13"/>
    <w:rsid w:val="00C75692"/>
    <w:rsid w:val="00C80A9F"/>
    <w:rsid w:val="00C8132D"/>
    <w:rsid w:val="00C81A45"/>
    <w:rsid w:val="00C8305F"/>
    <w:rsid w:val="00C851B5"/>
    <w:rsid w:val="00C856D8"/>
    <w:rsid w:val="00C9218D"/>
    <w:rsid w:val="00C92D81"/>
    <w:rsid w:val="00C951DA"/>
    <w:rsid w:val="00C953A8"/>
    <w:rsid w:val="00C9699B"/>
    <w:rsid w:val="00CA1D3C"/>
    <w:rsid w:val="00CA448B"/>
    <w:rsid w:val="00CA601E"/>
    <w:rsid w:val="00CA7C37"/>
    <w:rsid w:val="00CB4BA3"/>
    <w:rsid w:val="00CB4C80"/>
    <w:rsid w:val="00CB6C2E"/>
    <w:rsid w:val="00CC260F"/>
    <w:rsid w:val="00CC26F1"/>
    <w:rsid w:val="00CC33D1"/>
    <w:rsid w:val="00CC440D"/>
    <w:rsid w:val="00CC51D5"/>
    <w:rsid w:val="00CC64AA"/>
    <w:rsid w:val="00CC76A4"/>
    <w:rsid w:val="00CD067B"/>
    <w:rsid w:val="00CD1723"/>
    <w:rsid w:val="00CD2B88"/>
    <w:rsid w:val="00CD3B91"/>
    <w:rsid w:val="00CD4C6B"/>
    <w:rsid w:val="00CD6475"/>
    <w:rsid w:val="00CD6648"/>
    <w:rsid w:val="00CD7A7D"/>
    <w:rsid w:val="00CE2E79"/>
    <w:rsid w:val="00CE64E1"/>
    <w:rsid w:val="00CF216B"/>
    <w:rsid w:val="00CF347F"/>
    <w:rsid w:val="00CF3EAB"/>
    <w:rsid w:val="00CF58D7"/>
    <w:rsid w:val="00CF5FB2"/>
    <w:rsid w:val="00D059D5"/>
    <w:rsid w:val="00D11DE8"/>
    <w:rsid w:val="00D12445"/>
    <w:rsid w:val="00D12F95"/>
    <w:rsid w:val="00D133F4"/>
    <w:rsid w:val="00D13676"/>
    <w:rsid w:val="00D13DC9"/>
    <w:rsid w:val="00D14100"/>
    <w:rsid w:val="00D14F3F"/>
    <w:rsid w:val="00D17047"/>
    <w:rsid w:val="00D23E33"/>
    <w:rsid w:val="00D2486F"/>
    <w:rsid w:val="00D27372"/>
    <w:rsid w:val="00D323DC"/>
    <w:rsid w:val="00D326B8"/>
    <w:rsid w:val="00D32DD4"/>
    <w:rsid w:val="00D3460D"/>
    <w:rsid w:val="00D360B1"/>
    <w:rsid w:val="00D426E3"/>
    <w:rsid w:val="00D44A59"/>
    <w:rsid w:val="00D4650F"/>
    <w:rsid w:val="00D4671F"/>
    <w:rsid w:val="00D510B7"/>
    <w:rsid w:val="00D51999"/>
    <w:rsid w:val="00D535CB"/>
    <w:rsid w:val="00D60326"/>
    <w:rsid w:val="00D609A1"/>
    <w:rsid w:val="00D60E62"/>
    <w:rsid w:val="00D62B52"/>
    <w:rsid w:val="00D63D67"/>
    <w:rsid w:val="00D64036"/>
    <w:rsid w:val="00D640E4"/>
    <w:rsid w:val="00D64678"/>
    <w:rsid w:val="00D6555D"/>
    <w:rsid w:val="00D712F4"/>
    <w:rsid w:val="00D74E38"/>
    <w:rsid w:val="00D773F1"/>
    <w:rsid w:val="00D807D9"/>
    <w:rsid w:val="00D96B2F"/>
    <w:rsid w:val="00D977D1"/>
    <w:rsid w:val="00DA0DAA"/>
    <w:rsid w:val="00DA1605"/>
    <w:rsid w:val="00DA25E0"/>
    <w:rsid w:val="00DA2A73"/>
    <w:rsid w:val="00DA39AB"/>
    <w:rsid w:val="00DA3F9A"/>
    <w:rsid w:val="00DA5FD1"/>
    <w:rsid w:val="00DB4A91"/>
    <w:rsid w:val="00DB675C"/>
    <w:rsid w:val="00DC087E"/>
    <w:rsid w:val="00DC0ADF"/>
    <w:rsid w:val="00DC1CFE"/>
    <w:rsid w:val="00DC1F91"/>
    <w:rsid w:val="00DC3493"/>
    <w:rsid w:val="00DC5BC1"/>
    <w:rsid w:val="00DC618B"/>
    <w:rsid w:val="00DC642E"/>
    <w:rsid w:val="00DD0CF7"/>
    <w:rsid w:val="00DD1C7B"/>
    <w:rsid w:val="00DD36BD"/>
    <w:rsid w:val="00DD376F"/>
    <w:rsid w:val="00DD4714"/>
    <w:rsid w:val="00DD543C"/>
    <w:rsid w:val="00DD660F"/>
    <w:rsid w:val="00DD6753"/>
    <w:rsid w:val="00DD7363"/>
    <w:rsid w:val="00DE13E7"/>
    <w:rsid w:val="00DE221F"/>
    <w:rsid w:val="00DE28E3"/>
    <w:rsid w:val="00DE3AA1"/>
    <w:rsid w:val="00DE6DF6"/>
    <w:rsid w:val="00DF026C"/>
    <w:rsid w:val="00DF35B9"/>
    <w:rsid w:val="00DF61FE"/>
    <w:rsid w:val="00DF63F4"/>
    <w:rsid w:val="00E01E98"/>
    <w:rsid w:val="00E02880"/>
    <w:rsid w:val="00E0714A"/>
    <w:rsid w:val="00E0779D"/>
    <w:rsid w:val="00E11F68"/>
    <w:rsid w:val="00E12610"/>
    <w:rsid w:val="00E13921"/>
    <w:rsid w:val="00E22B96"/>
    <w:rsid w:val="00E24EC1"/>
    <w:rsid w:val="00E31026"/>
    <w:rsid w:val="00E31200"/>
    <w:rsid w:val="00E33CFF"/>
    <w:rsid w:val="00E34BE2"/>
    <w:rsid w:val="00E363F6"/>
    <w:rsid w:val="00E419DA"/>
    <w:rsid w:val="00E41C00"/>
    <w:rsid w:val="00E42B87"/>
    <w:rsid w:val="00E42D36"/>
    <w:rsid w:val="00E42EEF"/>
    <w:rsid w:val="00E45CF9"/>
    <w:rsid w:val="00E46FC5"/>
    <w:rsid w:val="00E53C52"/>
    <w:rsid w:val="00E56250"/>
    <w:rsid w:val="00E56D27"/>
    <w:rsid w:val="00E6009E"/>
    <w:rsid w:val="00E606B3"/>
    <w:rsid w:val="00E61DD2"/>
    <w:rsid w:val="00E622D2"/>
    <w:rsid w:val="00E626DB"/>
    <w:rsid w:val="00E6613F"/>
    <w:rsid w:val="00E70035"/>
    <w:rsid w:val="00E703B1"/>
    <w:rsid w:val="00E712A7"/>
    <w:rsid w:val="00E73C7B"/>
    <w:rsid w:val="00E74486"/>
    <w:rsid w:val="00E77893"/>
    <w:rsid w:val="00E81A92"/>
    <w:rsid w:val="00E82DE9"/>
    <w:rsid w:val="00E83F6C"/>
    <w:rsid w:val="00E87A0A"/>
    <w:rsid w:val="00E90B08"/>
    <w:rsid w:val="00E92795"/>
    <w:rsid w:val="00E92DF6"/>
    <w:rsid w:val="00E94FBC"/>
    <w:rsid w:val="00E966F5"/>
    <w:rsid w:val="00EA0F03"/>
    <w:rsid w:val="00EA159F"/>
    <w:rsid w:val="00EA182E"/>
    <w:rsid w:val="00EA31E6"/>
    <w:rsid w:val="00EA3ACA"/>
    <w:rsid w:val="00EA53B3"/>
    <w:rsid w:val="00EA553E"/>
    <w:rsid w:val="00EA6E8C"/>
    <w:rsid w:val="00EA7A79"/>
    <w:rsid w:val="00EB3447"/>
    <w:rsid w:val="00EB3D5F"/>
    <w:rsid w:val="00EB3E6C"/>
    <w:rsid w:val="00EB5678"/>
    <w:rsid w:val="00EB7D5E"/>
    <w:rsid w:val="00EC4925"/>
    <w:rsid w:val="00EC502A"/>
    <w:rsid w:val="00ED18A7"/>
    <w:rsid w:val="00ED2E55"/>
    <w:rsid w:val="00ED4D13"/>
    <w:rsid w:val="00ED5173"/>
    <w:rsid w:val="00ED5726"/>
    <w:rsid w:val="00ED61CD"/>
    <w:rsid w:val="00ED689E"/>
    <w:rsid w:val="00ED7222"/>
    <w:rsid w:val="00EE1FB2"/>
    <w:rsid w:val="00EE47D8"/>
    <w:rsid w:val="00EF0668"/>
    <w:rsid w:val="00EF0A99"/>
    <w:rsid w:val="00EF29B3"/>
    <w:rsid w:val="00EF42D6"/>
    <w:rsid w:val="00EF5F84"/>
    <w:rsid w:val="00EF69C7"/>
    <w:rsid w:val="00F05A30"/>
    <w:rsid w:val="00F07847"/>
    <w:rsid w:val="00F102A2"/>
    <w:rsid w:val="00F108CF"/>
    <w:rsid w:val="00F11492"/>
    <w:rsid w:val="00F1284E"/>
    <w:rsid w:val="00F241F4"/>
    <w:rsid w:val="00F26105"/>
    <w:rsid w:val="00F315FC"/>
    <w:rsid w:val="00F31C55"/>
    <w:rsid w:val="00F33020"/>
    <w:rsid w:val="00F346B2"/>
    <w:rsid w:val="00F34E9D"/>
    <w:rsid w:val="00F37CEA"/>
    <w:rsid w:val="00F408B3"/>
    <w:rsid w:val="00F41967"/>
    <w:rsid w:val="00F41F97"/>
    <w:rsid w:val="00F42162"/>
    <w:rsid w:val="00F438FE"/>
    <w:rsid w:val="00F46A63"/>
    <w:rsid w:val="00F46C74"/>
    <w:rsid w:val="00F47229"/>
    <w:rsid w:val="00F50B92"/>
    <w:rsid w:val="00F52060"/>
    <w:rsid w:val="00F52EFD"/>
    <w:rsid w:val="00F55CFD"/>
    <w:rsid w:val="00F5617B"/>
    <w:rsid w:val="00F579AE"/>
    <w:rsid w:val="00F606DE"/>
    <w:rsid w:val="00F62A60"/>
    <w:rsid w:val="00F62AEF"/>
    <w:rsid w:val="00F671B6"/>
    <w:rsid w:val="00F675FF"/>
    <w:rsid w:val="00F70D6B"/>
    <w:rsid w:val="00F71233"/>
    <w:rsid w:val="00F72880"/>
    <w:rsid w:val="00F735DF"/>
    <w:rsid w:val="00F74863"/>
    <w:rsid w:val="00F81A60"/>
    <w:rsid w:val="00F81C81"/>
    <w:rsid w:val="00F81CF8"/>
    <w:rsid w:val="00F84A86"/>
    <w:rsid w:val="00F86159"/>
    <w:rsid w:val="00F87A4C"/>
    <w:rsid w:val="00F92C6E"/>
    <w:rsid w:val="00F95883"/>
    <w:rsid w:val="00F95AF2"/>
    <w:rsid w:val="00F969D8"/>
    <w:rsid w:val="00F96D45"/>
    <w:rsid w:val="00FA20E2"/>
    <w:rsid w:val="00FA2E22"/>
    <w:rsid w:val="00FA494E"/>
    <w:rsid w:val="00FA6887"/>
    <w:rsid w:val="00FB2CD2"/>
    <w:rsid w:val="00FC02C8"/>
    <w:rsid w:val="00FC0C60"/>
    <w:rsid w:val="00FC1844"/>
    <w:rsid w:val="00FC2199"/>
    <w:rsid w:val="00FC2492"/>
    <w:rsid w:val="00FC3906"/>
    <w:rsid w:val="00FC3E27"/>
    <w:rsid w:val="00FC48C8"/>
    <w:rsid w:val="00FD11CB"/>
    <w:rsid w:val="00FD4FAD"/>
    <w:rsid w:val="00FD5340"/>
    <w:rsid w:val="00FD5EE0"/>
    <w:rsid w:val="00FD7433"/>
    <w:rsid w:val="00FE3CD0"/>
    <w:rsid w:val="00FE5918"/>
    <w:rsid w:val="00FE66EE"/>
    <w:rsid w:val="00FE6897"/>
    <w:rsid w:val="00FF198D"/>
    <w:rsid w:val="00FF3CD7"/>
    <w:rsid w:val="00FF55BD"/>
    <w:rsid w:val="00FF5A4C"/>
    <w:rsid w:val="00FF5B3E"/>
    <w:rsid w:val="00FF6E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6B0C"/>
  <w15:chartTrackingRefBased/>
  <w15:docId w15:val="{579BF571-E453-F748-99D5-66E0E3B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16"/>
    <w:pPr>
      <w:spacing w:before="120" w:after="120"/>
      <w:ind w:firstLine="284"/>
      <w:jc w:val="both"/>
    </w:pPr>
    <w:rPr>
      <w:sz w:val="24"/>
      <w:szCs w:val="24"/>
    </w:rPr>
  </w:style>
  <w:style w:type="paragraph" w:styleId="Heading1">
    <w:name w:val="heading 1"/>
    <w:link w:val="Heading1Char"/>
    <w:qFormat/>
    <w:rsid w:val="0023539C"/>
    <w:pPr>
      <w:suppressAutoHyphens/>
      <w:outlineLvl w:val="0"/>
    </w:pPr>
    <w:rPr>
      <w:rFonts w:ascii="Times New Roman" w:eastAsia="Times New Roman" w:hAnsi="Times New Roman" w:cs="Times New Roman"/>
      <w:color w:val="2E74B5"/>
      <w:sz w:val="32"/>
      <w:szCs w:val="32"/>
      <w:lang w:eastAsia="en-GB"/>
    </w:rPr>
  </w:style>
  <w:style w:type="paragraph" w:styleId="Heading2">
    <w:name w:val="heading 2"/>
    <w:link w:val="Heading2Char"/>
    <w:qFormat/>
    <w:rsid w:val="0023539C"/>
    <w:pPr>
      <w:suppressAutoHyphens/>
      <w:outlineLvl w:val="1"/>
    </w:pPr>
    <w:rPr>
      <w:rFonts w:ascii="Times New Roman" w:eastAsia="Times New Roman" w:hAnsi="Times New Roman" w:cs="Times New Roman"/>
      <w:color w:val="2E74B5"/>
      <w:sz w:val="26"/>
      <w:szCs w:val="26"/>
      <w:lang w:eastAsia="en-GB"/>
    </w:rPr>
  </w:style>
  <w:style w:type="paragraph" w:styleId="Heading3">
    <w:name w:val="heading 3"/>
    <w:link w:val="Heading3Char"/>
    <w:qFormat/>
    <w:rsid w:val="0023539C"/>
    <w:pPr>
      <w:suppressAutoHyphens/>
      <w:outlineLvl w:val="2"/>
    </w:pPr>
    <w:rPr>
      <w:rFonts w:ascii="Times New Roman" w:eastAsia="Times New Roman" w:hAnsi="Times New Roman" w:cs="Times New Roman"/>
      <w:color w:val="1F4D78"/>
      <w:sz w:val="24"/>
      <w:szCs w:val="24"/>
      <w:lang w:eastAsia="en-GB"/>
    </w:rPr>
  </w:style>
  <w:style w:type="paragraph" w:styleId="Heading4">
    <w:name w:val="heading 4"/>
    <w:link w:val="Heading4Char"/>
    <w:qFormat/>
    <w:rsid w:val="0023539C"/>
    <w:pPr>
      <w:suppressAutoHyphens/>
      <w:outlineLvl w:val="3"/>
    </w:pPr>
    <w:rPr>
      <w:rFonts w:ascii="Times New Roman" w:eastAsia="Times New Roman" w:hAnsi="Times New Roman" w:cs="Times New Roman"/>
      <w:i/>
      <w:iCs/>
      <w:color w:val="2E74B5"/>
      <w:sz w:val="24"/>
      <w:szCs w:val="24"/>
      <w:lang w:eastAsia="en-GB"/>
    </w:rPr>
  </w:style>
  <w:style w:type="paragraph" w:styleId="Heading5">
    <w:name w:val="heading 5"/>
    <w:link w:val="Heading5Char"/>
    <w:qFormat/>
    <w:rsid w:val="0023539C"/>
    <w:pPr>
      <w:suppressAutoHyphens/>
      <w:outlineLvl w:val="4"/>
    </w:pPr>
    <w:rPr>
      <w:rFonts w:ascii="Times New Roman" w:eastAsia="Times New Roman" w:hAnsi="Times New Roman" w:cs="Times New Roman"/>
      <w:color w:val="2E74B5"/>
      <w:sz w:val="24"/>
      <w:szCs w:val="24"/>
      <w:lang w:eastAsia="en-GB"/>
    </w:rPr>
  </w:style>
  <w:style w:type="paragraph" w:styleId="Heading6">
    <w:name w:val="heading 6"/>
    <w:link w:val="Heading6Char"/>
    <w:qFormat/>
    <w:rsid w:val="0023539C"/>
    <w:pPr>
      <w:suppressAutoHyphens/>
      <w:outlineLvl w:val="5"/>
    </w:pPr>
    <w:rPr>
      <w:rFonts w:ascii="Times New Roman" w:eastAsia="Times New Roman" w:hAnsi="Times New Roman" w:cs="Times New Roman"/>
      <w:color w:val="1F4D7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F68A0"/>
    <w:pPr>
      <w:spacing w:after="0"/>
    </w:pPr>
    <w:rPr>
      <w:rFonts w:eastAsia="Times New Roman"/>
      <w:sz w:val="20"/>
      <w:szCs w:val="20"/>
    </w:rPr>
  </w:style>
  <w:style w:type="character" w:customStyle="1" w:styleId="FootnoteTextChar">
    <w:name w:val="Footnote Text Char"/>
    <w:link w:val="FootnoteText"/>
    <w:rsid w:val="002F68A0"/>
    <w:rPr>
      <w:rFonts w:ascii="Calibri" w:eastAsia="Times New Roman" w:hAnsi="Calibri" w:cs="Arial"/>
      <w:sz w:val="20"/>
      <w:szCs w:val="20"/>
    </w:rPr>
  </w:style>
  <w:style w:type="character" w:styleId="FootnoteReference">
    <w:name w:val="footnote reference"/>
    <w:unhideWhenUsed/>
    <w:rsid w:val="002F68A0"/>
    <w:rPr>
      <w:vertAlign w:val="superscript"/>
    </w:rPr>
  </w:style>
  <w:style w:type="paragraph" w:styleId="BalloonText">
    <w:name w:val="Balloon Text"/>
    <w:basedOn w:val="Normal"/>
    <w:link w:val="BalloonTextChar"/>
    <w:uiPriority w:val="99"/>
    <w:semiHidden/>
    <w:unhideWhenUsed/>
    <w:rsid w:val="002F68A0"/>
    <w:pPr>
      <w:spacing w:after="0"/>
    </w:pPr>
    <w:rPr>
      <w:rFonts w:ascii="Tahoma" w:hAnsi="Tahoma" w:cs="Tahoma"/>
      <w:sz w:val="16"/>
      <w:szCs w:val="16"/>
    </w:rPr>
  </w:style>
  <w:style w:type="character" w:customStyle="1" w:styleId="BalloonTextChar">
    <w:name w:val="Balloon Text Char"/>
    <w:link w:val="BalloonText"/>
    <w:uiPriority w:val="99"/>
    <w:semiHidden/>
    <w:rsid w:val="002F68A0"/>
    <w:rPr>
      <w:rFonts w:ascii="Tahoma" w:hAnsi="Tahoma" w:cs="Tahoma"/>
      <w:sz w:val="16"/>
      <w:szCs w:val="16"/>
    </w:rPr>
  </w:style>
  <w:style w:type="paragraph" w:styleId="ListParagraph">
    <w:name w:val="List Paragraph"/>
    <w:basedOn w:val="Normal"/>
    <w:qFormat/>
    <w:rsid w:val="00FF6EB4"/>
    <w:pPr>
      <w:ind w:left="720"/>
      <w:contextualSpacing/>
    </w:pPr>
    <w:rPr>
      <w:rFonts w:eastAsia="Times New Roman"/>
    </w:rPr>
  </w:style>
  <w:style w:type="character" w:styleId="Hyperlink">
    <w:name w:val="Hyperlink"/>
    <w:unhideWhenUsed/>
    <w:rsid w:val="00BF6120"/>
    <w:rPr>
      <w:color w:val="0000FF"/>
      <w:u w:val="single"/>
    </w:rPr>
  </w:style>
  <w:style w:type="paragraph" w:styleId="Header">
    <w:name w:val="header"/>
    <w:basedOn w:val="Normal"/>
    <w:link w:val="HeaderChar"/>
    <w:uiPriority w:val="99"/>
    <w:unhideWhenUsed/>
    <w:rsid w:val="00755E16"/>
    <w:pPr>
      <w:tabs>
        <w:tab w:val="center" w:pos="4680"/>
        <w:tab w:val="right" w:pos="9360"/>
      </w:tabs>
      <w:spacing w:after="0"/>
    </w:pPr>
  </w:style>
  <w:style w:type="character" w:customStyle="1" w:styleId="HeaderChar">
    <w:name w:val="Header Char"/>
    <w:basedOn w:val="DefaultParagraphFont"/>
    <w:link w:val="Header"/>
    <w:uiPriority w:val="99"/>
    <w:rsid w:val="00755E16"/>
  </w:style>
  <w:style w:type="paragraph" w:styleId="Footer">
    <w:name w:val="footer"/>
    <w:basedOn w:val="Normal"/>
    <w:link w:val="FooterChar"/>
    <w:uiPriority w:val="99"/>
    <w:unhideWhenUsed/>
    <w:rsid w:val="00755E16"/>
    <w:pPr>
      <w:tabs>
        <w:tab w:val="center" w:pos="4680"/>
        <w:tab w:val="right" w:pos="9360"/>
      </w:tabs>
      <w:spacing w:after="0"/>
    </w:pPr>
  </w:style>
  <w:style w:type="character" w:customStyle="1" w:styleId="FooterChar">
    <w:name w:val="Footer Char"/>
    <w:basedOn w:val="DefaultParagraphFont"/>
    <w:link w:val="Footer"/>
    <w:uiPriority w:val="99"/>
    <w:rsid w:val="00755E16"/>
  </w:style>
  <w:style w:type="character" w:styleId="CommentReference">
    <w:name w:val="annotation reference"/>
    <w:uiPriority w:val="99"/>
    <w:semiHidden/>
    <w:unhideWhenUsed/>
    <w:rsid w:val="00664C1D"/>
    <w:rPr>
      <w:sz w:val="16"/>
      <w:szCs w:val="16"/>
    </w:rPr>
  </w:style>
  <w:style w:type="paragraph" w:styleId="CommentText">
    <w:name w:val="annotation text"/>
    <w:basedOn w:val="Normal"/>
    <w:link w:val="CommentTextChar"/>
    <w:uiPriority w:val="99"/>
    <w:semiHidden/>
    <w:unhideWhenUsed/>
    <w:rsid w:val="00664C1D"/>
    <w:rPr>
      <w:sz w:val="20"/>
      <w:szCs w:val="20"/>
    </w:rPr>
  </w:style>
  <w:style w:type="character" w:customStyle="1" w:styleId="CommentTextChar">
    <w:name w:val="Comment Text Char"/>
    <w:link w:val="CommentText"/>
    <w:uiPriority w:val="99"/>
    <w:semiHidden/>
    <w:rsid w:val="00664C1D"/>
    <w:rPr>
      <w:sz w:val="20"/>
      <w:szCs w:val="20"/>
    </w:rPr>
  </w:style>
  <w:style w:type="paragraph" w:styleId="CommentSubject">
    <w:name w:val="annotation subject"/>
    <w:basedOn w:val="CommentText"/>
    <w:next w:val="CommentText"/>
    <w:link w:val="CommentSubjectChar"/>
    <w:uiPriority w:val="99"/>
    <w:semiHidden/>
    <w:unhideWhenUsed/>
    <w:rsid w:val="00664C1D"/>
    <w:rPr>
      <w:b/>
      <w:bCs/>
    </w:rPr>
  </w:style>
  <w:style w:type="character" w:customStyle="1" w:styleId="CommentSubjectChar">
    <w:name w:val="Comment Subject Char"/>
    <w:link w:val="CommentSubject"/>
    <w:uiPriority w:val="99"/>
    <w:semiHidden/>
    <w:rsid w:val="00664C1D"/>
    <w:rPr>
      <w:b/>
      <w:bCs/>
      <w:sz w:val="20"/>
      <w:szCs w:val="20"/>
    </w:rPr>
  </w:style>
  <w:style w:type="table" w:styleId="TableGrid">
    <w:name w:val="Table Grid"/>
    <w:basedOn w:val="TableNormal"/>
    <w:uiPriority w:val="39"/>
    <w:rsid w:val="0004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6555D"/>
    <w:rPr>
      <w:i/>
      <w:iCs/>
    </w:rPr>
  </w:style>
  <w:style w:type="paragraph" w:styleId="NormalWeb">
    <w:name w:val="Normal (Web)"/>
    <w:basedOn w:val="Normal"/>
    <w:uiPriority w:val="99"/>
    <w:semiHidden/>
    <w:unhideWhenUsed/>
    <w:rsid w:val="00D6555D"/>
    <w:pPr>
      <w:spacing w:before="100" w:beforeAutospacing="1" w:after="100" w:afterAutospacing="1"/>
      <w:ind w:firstLine="0"/>
      <w:jc w:val="left"/>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A25E0"/>
    <w:pPr>
      <w:bidi/>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47229"/>
    <w:rPr>
      <w:color w:val="605E5C"/>
      <w:shd w:val="clear" w:color="auto" w:fill="E1DFDD"/>
    </w:rPr>
  </w:style>
  <w:style w:type="character" w:customStyle="1" w:styleId="Heading1Char">
    <w:name w:val="Heading 1 Char"/>
    <w:link w:val="Heading1"/>
    <w:rsid w:val="0023539C"/>
    <w:rPr>
      <w:rFonts w:ascii="Times New Roman" w:eastAsia="Times New Roman" w:hAnsi="Times New Roman" w:cs="Times New Roman"/>
      <w:color w:val="2E74B5"/>
      <w:sz w:val="32"/>
      <w:szCs w:val="32"/>
      <w:lang w:eastAsia="en-GB"/>
    </w:rPr>
  </w:style>
  <w:style w:type="character" w:customStyle="1" w:styleId="Heading2Char">
    <w:name w:val="Heading 2 Char"/>
    <w:link w:val="Heading2"/>
    <w:rsid w:val="0023539C"/>
    <w:rPr>
      <w:rFonts w:ascii="Times New Roman" w:eastAsia="Times New Roman" w:hAnsi="Times New Roman" w:cs="Times New Roman"/>
      <w:color w:val="2E74B5"/>
      <w:sz w:val="26"/>
      <w:szCs w:val="26"/>
      <w:lang w:eastAsia="en-GB"/>
    </w:rPr>
  </w:style>
  <w:style w:type="character" w:customStyle="1" w:styleId="Heading3Char">
    <w:name w:val="Heading 3 Char"/>
    <w:link w:val="Heading3"/>
    <w:rsid w:val="0023539C"/>
    <w:rPr>
      <w:rFonts w:ascii="Times New Roman" w:eastAsia="Times New Roman" w:hAnsi="Times New Roman" w:cs="Times New Roman"/>
      <w:color w:val="1F4D78"/>
      <w:sz w:val="24"/>
      <w:szCs w:val="24"/>
      <w:lang w:eastAsia="en-GB"/>
    </w:rPr>
  </w:style>
  <w:style w:type="character" w:customStyle="1" w:styleId="Heading4Char">
    <w:name w:val="Heading 4 Char"/>
    <w:link w:val="Heading4"/>
    <w:rsid w:val="0023539C"/>
    <w:rPr>
      <w:rFonts w:ascii="Times New Roman" w:eastAsia="Times New Roman" w:hAnsi="Times New Roman" w:cs="Times New Roman"/>
      <w:i/>
      <w:iCs/>
      <w:color w:val="2E74B5"/>
      <w:sz w:val="24"/>
      <w:szCs w:val="24"/>
      <w:lang w:eastAsia="en-GB"/>
    </w:rPr>
  </w:style>
  <w:style w:type="character" w:customStyle="1" w:styleId="Heading5Char">
    <w:name w:val="Heading 5 Char"/>
    <w:link w:val="Heading5"/>
    <w:rsid w:val="0023539C"/>
    <w:rPr>
      <w:rFonts w:ascii="Times New Roman" w:eastAsia="Times New Roman" w:hAnsi="Times New Roman" w:cs="Times New Roman"/>
      <w:color w:val="2E74B5"/>
      <w:sz w:val="24"/>
      <w:szCs w:val="24"/>
      <w:lang w:eastAsia="en-GB"/>
    </w:rPr>
  </w:style>
  <w:style w:type="character" w:customStyle="1" w:styleId="Heading6Char">
    <w:name w:val="Heading 6 Char"/>
    <w:link w:val="Heading6"/>
    <w:rsid w:val="0023539C"/>
    <w:rPr>
      <w:rFonts w:ascii="Times New Roman" w:eastAsia="Times New Roman" w:hAnsi="Times New Roman" w:cs="Times New Roman"/>
      <w:color w:val="1F4D78"/>
      <w:sz w:val="24"/>
      <w:szCs w:val="24"/>
      <w:lang w:eastAsia="en-GB"/>
    </w:rPr>
  </w:style>
  <w:style w:type="character" w:customStyle="1" w:styleId="DefaultParagraphFont1">
    <w:name w:val="Default Paragraph Font1"/>
    <w:rsid w:val="0023539C"/>
  </w:style>
  <w:style w:type="character" w:customStyle="1" w:styleId="FootnoteCharacters">
    <w:name w:val="Footnote Characters"/>
    <w:rsid w:val="0023539C"/>
    <w:rPr>
      <w:vertAlign w:val="superscript"/>
    </w:rPr>
  </w:style>
  <w:style w:type="character" w:styleId="PageNumber">
    <w:name w:val="page number"/>
    <w:basedOn w:val="DefaultParagraphFont1"/>
    <w:rsid w:val="0023539C"/>
  </w:style>
  <w:style w:type="character" w:customStyle="1" w:styleId="ListLabel1">
    <w:name w:val="ListLabel 1"/>
    <w:rsid w:val="0023539C"/>
  </w:style>
  <w:style w:type="character" w:customStyle="1" w:styleId="ListLabel2">
    <w:name w:val="ListLabel 2"/>
    <w:rsid w:val="0023539C"/>
  </w:style>
  <w:style w:type="character" w:customStyle="1" w:styleId="ListLabel3">
    <w:name w:val="ListLabel 3"/>
    <w:rsid w:val="0023539C"/>
  </w:style>
  <w:style w:type="character" w:customStyle="1" w:styleId="ListLabel4">
    <w:name w:val="ListLabel 4"/>
    <w:rsid w:val="0023539C"/>
  </w:style>
  <w:style w:type="character" w:customStyle="1" w:styleId="ListLabel5">
    <w:name w:val="ListLabel 5"/>
    <w:rsid w:val="0023539C"/>
  </w:style>
  <w:style w:type="character" w:customStyle="1" w:styleId="ListLabel6">
    <w:name w:val="ListLabel 6"/>
    <w:rsid w:val="0023539C"/>
  </w:style>
  <w:style w:type="character" w:customStyle="1" w:styleId="ListLabel7">
    <w:name w:val="ListLabel 7"/>
    <w:rsid w:val="0023539C"/>
  </w:style>
  <w:style w:type="character" w:customStyle="1" w:styleId="ListLabel8">
    <w:name w:val="ListLabel 8"/>
    <w:rsid w:val="0023539C"/>
  </w:style>
  <w:style w:type="character" w:customStyle="1" w:styleId="ListLabel9">
    <w:name w:val="ListLabel 9"/>
    <w:rsid w:val="0023539C"/>
  </w:style>
  <w:style w:type="character" w:customStyle="1" w:styleId="ListLabel10">
    <w:name w:val="ListLabel 10"/>
    <w:rsid w:val="0023539C"/>
  </w:style>
  <w:style w:type="character" w:customStyle="1" w:styleId="ListLabel11">
    <w:name w:val="ListLabel 11"/>
    <w:rsid w:val="0023539C"/>
  </w:style>
  <w:style w:type="character" w:customStyle="1" w:styleId="ListLabel12">
    <w:name w:val="ListLabel 12"/>
    <w:rsid w:val="0023539C"/>
  </w:style>
  <w:style w:type="character" w:customStyle="1" w:styleId="ListLabel13">
    <w:name w:val="ListLabel 13"/>
    <w:rsid w:val="0023539C"/>
  </w:style>
  <w:style w:type="character" w:customStyle="1" w:styleId="ListLabel14">
    <w:name w:val="ListLabel 14"/>
    <w:rsid w:val="0023539C"/>
  </w:style>
  <w:style w:type="character" w:customStyle="1" w:styleId="ListLabel15">
    <w:name w:val="ListLabel 15"/>
    <w:rsid w:val="0023539C"/>
  </w:style>
  <w:style w:type="character" w:customStyle="1" w:styleId="ListLabel16">
    <w:name w:val="ListLabel 16"/>
    <w:rsid w:val="0023539C"/>
  </w:style>
  <w:style w:type="character" w:customStyle="1" w:styleId="ListLabel17">
    <w:name w:val="ListLabel 17"/>
    <w:rsid w:val="0023539C"/>
  </w:style>
  <w:style w:type="character" w:customStyle="1" w:styleId="ListLabel18">
    <w:name w:val="ListLabel 18"/>
    <w:rsid w:val="0023539C"/>
  </w:style>
  <w:style w:type="character" w:customStyle="1" w:styleId="ListLabel19">
    <w:name w:val="ListLabel 19"/>
    <w:rsid w:val="0023539C"/>
  </w:style>
  <w:style w:type="character" w:customStyle="1" w:styleId="ListLabel20">
    <w:name w:val="ListLabel 20"/>
    <w:rsid w:val="0023539C"/>
  </w:style>
  <w:style w:type="character" w:customStyle="1" w:styleId="ListLabel21">
    <w:name w:val="ListLabel 21"/>
    <w:rsid w:val="0023539C"/>
  </w:style>
  <w:style w:type="character" w:customStyle="1" w:styleId="ListLabel22">
    <w:name w:val="ListLabel 22"/>
    <w:rsid w:val="0023539C"/>
  </w:style>
  <w:style w:type="character" w:customStyle="1" w:styleId="ListLabel23">
    <w:name w:val="ListLabel 23"/>
    <w:rsid w:val="0023539C"/>
  </w:style>
  <w:style w:type="character" w:customStyle="1" w:styleId="ListLabel24">
    <w:name w:val="ListLabel 24"/>
    <w:rsid w:val="0023539C"/>
  </w:style>
  <w:style w:type="character" w:customStyle="1" w:styleId="ListLabel25">
    <w:name w:val="ListLabel 25"/>
    <w:rsid w:val="0023539C"/>
  </w:style>
  <w:style w:type="character" w:customStyle="1" w:styleId="ListLabel26">
    <w:name w:val="ListLabel 26"/>
    <w:rsid w:val="0023539C"/>
  </w:style>
  <w:style w:type="character" w:customStyle="1" w:styleId="ListLabel27">
    <w:name w:val="ListLabel 27"/>
    <w:rsid w:val="0023539C"/>
  </w:style>
  <w:style w:type="character" w:customStyle="1" w:styleId="ListLabel28">
    <w:name w:val="ListLabel 28"/>
    <w:rsid w:val="0023539C"/>
  </w:style>
  <w:style w:type="character" w:customStyle="1" w:styleId="ListLabel29">
    <w:name w:val="ListLabel 29"/>
    <w:rsid w:val="0023539C"/>
  </w:style>
  <w:style w:type="character" w:customStyle="1" w:styleId="ListLabel30">
    <w:name w:val="ListLabel 30"/>
    <w:rsid w:val="0023539C"/>
  </w:style>
  <w:style w:type="character" w:customStyle="1" w:styleId="ListLabel31">
    <w:name w:val="ListLabel 31"/>
    <w:rsid w:val="0023539C"/>
  </w:style>
  <w:style w:type="character" w:customStyle="1" w:styleId="ListLabel32">
    <w:name w:val="ListLabel 32"/>
    <w:rsid w:val="0023539C"/>
  </w:style>
  <w:style w:type="character" w:customStyle="1" w:styleId="ListLabel33">
    <w:name w:val="ListLabel 33"/>
    <w:rsid w:val="0023539C"/>
  </w:style>
  <w:style w:type="character" w:customStyle="1" w:styleId="ListLabel34">
    <w:name w:val="ListLabel 34"/>
    <w:rsid w:val="0023539C"/>
  </w:style>
  <w:style w:type="character" w:customStyle="1" w:styleId="ListLabel35">
    <w:name w:val="ListLabel 35"/>
    <w:rsid w:val="0023539C"/>
  </w:style>
  <w:style w:type="character" w:customStyle="1" w:styleId="ListLabel36">
    <w:name w:val="ListLabel 36"/>
    <w:rsid w:val="0023539C"/>
  </w:style>
  <w:style w:type="character" w:customStyle="1" w:styleId="ListLabel37">
    <w:name w:val="ListLabel 37"/>
    <w:rsid w:val="0023539C"/>
  </w:style>
  <w:style w:type="character" w:customStyle="1" w:styleId="ListLabel38">
    <w:name w:val="ListLabel 38"/>
    <w:rsid w:val="0023539C"/>
  </w:style>
  <w:style w:type="character" w:customStyle="1" w:styleId="ListLabel39">
    <w:name w:val="ListLabel 39"/>
    <w:rsid w:val="0023539C"/>
  </w:style>
  <w:style w:type="character" w:customStyle="1" w:styleId="ListLabel40">
    <w:name w:val="ListLabel 40"/>
    <w:rsid w:val="0023539C"/>
  </w:style>
  <w:style w:type="character" w:customStyle="1" w:styleId="ListLabel41">
    <w:name w:val="ListLabel 41"/>
    <w:rsid w:val="0023539C"/>
  </w:style>
  <w:style w:type="character" w:customStyle="1" w:styleId="ListLabel42">
    <w:name w:val="ListLabel 42"/>
    <w:rsid w:val="0023539C"/>
  </w:style>
  <w:style w:type="character" w:customStyle="1" w:styleId="ListLabel43">
    <w:name w:val="ListLabel 43"/>
    <w:rsid w:val="0023539C"/>
  </w:style>
  <w:style w:type="character" w:customStyle="1" w:styleId="ListLabel44">
    <w:name w:val="ListLabel 44"/>
    <w:rsid w:val="0023539C"/>
  </w:style>
  <w:style w:type="character" w:customStyle="1" w:styleId="ListLabel45">
    <w:name w:val="ListLabel 45"/>
    <w:rsid w:val="0023539C"/>
  </w:style>
  <w:style w:type="character" w:customStyle="1" w:styleId="ListLabel46">
    <w:name w:val="ListLabel 46"/>
    <w:rsid w:val="0023539C"/>
  </w:style>
  <w:style w:type="character" w:customStyle="1" w:styleId="ListLabel47">
    <w:name w:val="ListLabel 47"/>
    <w:rsid w:val="0023539C"/>
  </w:style>
  <w:style w:type="character" w:customStyle="1" w:styleId="ListLabel48">
    <w:name w:val="ListLabel 48"/>
    <w:rsid w:val="0023539C"/>
  </w:style>
  <w:style w:type="character" w:customStyle="1" w:styleId="ListLabel49">
    <w:name w:val="ListLabel 49"/>
    <w:rsid w:val="0023539C"/>
  </w:style>
  <w:style w:type="character" w:customStyle="1" w:styleId="ListLabel50">
    <w:name w:val="ListLabel 50"/>
    <w:rsid w:val="0023539C"/>
  </w:style>
  <w:style w:type="character" w:customStyle="1" w:styleId="ListLabel51">
    <w:name w:val="ListLabel 51"/>
    <w:rsid w:val="0023539C"/>
  </w:style>
  <w:style w:type="character" w:customStyle="1" w:styleId="ListLabel52">
    <w:name w:val="ListLabel 52"/>
    <w:rsid w:val="0023539C"/>
  </w:style>
  <w:style w:type="character" w:customStyle="1" w:styleId="ListLabel53">
    <w:name w:val="ListLabel 53"/>
    <w:rsid w:val="0023539C"/>
  </w:style>
  <w:style w:type="character" w:customStyle="1" w:styleId="ListLabel54">
    <w:name w:val="ListLabel 54"/>
    <w:rsid w:val="0023539C"/>
  </w:style>
  <w:style w:type="character" w:customStyle="1" w:styleId="ListLabel55">
    <w:name w:val="ListLabel 55"/>
    <w:rsid w:val="0023539C"/>
  </w:style>
  <w:style w:type="character" w:customStyle="1" w:styleId="ListLabel56">
    <w:name w:val="ListLabel 56"/>
    <w:rsid w:val="0023539C"/>
  </w:style>
  <w:style w:type="character" w:customStyle="1" w:styleId="ListLabel57">
    <w:name w:val="ListLabel 57"/>
    <w:rsid w:val="0023539C"/>
  </w:style>
  <w:style w:type="character" w:customStyle="1" w:styleId="ListLabel58">
    <w:name w:val="ListLabel 58"/>
    <w:rsid w:val="0023539C"/>
  </w:style>
  <w:style w:type="character" w:customStyle="1" w:styleId="ListLabel59">
    <w:name w:val="ListLabel 59"/>
    <w:rsid w:val="0023539C"/>
  </w:style>
  <w:style w:type="character" w:customStyle="1" w:styleId="ListLabel60">
    <w:name w:val="ListLabel 60"/>
    <w:rsid w:val="0023539C"/>
  </w:style>
  <w:style w:type="character" w:customStyle="1" w:styleId="ListLabel61">
    <w:name w:val="ListLabel 61"/>
    <w:rsid w:val="0023539C"/>
  </w:style>
  <w:style w:type="character" w:customStyle="1" w:styleId="ListLabel62">
    <w:name w:val="ListLabel 62"/>
    <w:rsid w:val="0023539C"/>
  </w:style>
  <w:style w:type="character" w:customStyle="1" w:styleId="ListLabel63">
    <w:name w:val="ListLabel 63"/>
    <w:rsid w:val="0023539C"/>
  </w:style>
  <w:style w:type="character" w:customStyle="1" w:styleId="ListLabel64">
    <w:name w:val="ListLabel 64"/>
    <w:rsid w:val="0023539C"/>
  </w:style>
  <w:style w:type="character" w:customStyle="1" w:styleId="ListLabel65">
    <w:name w:val="ListLabel 65"/>
    <w:rsid w:val="0023539C"/>
  </w:style>
  <w:style w:type="character" w:customStyle="1" w:styleId="ListLabel66">
    <w:name w:val="ListLabel 66"/>
    <w:rsid w:val="0023539C"/>
  </w:style>
  <w:style w:type="character" w:customStyle="1" w:styleId="ListLabel67">
    <w:name w:val="ListLabel 67"/>
    <w:rsid w:val="0023539C"/>
  </w:style>
  <w:style w:type="character" w:customStyle="1" w:styleId="ListLabel68">
    <w:name w:val="ListLabel 68"/>
    <w:rsid w:val="0023539C"/>
  </w:style>
  <w:style w:type="character" w:customStyle="1" w:styleId="ListLabel69">
    <w:name w:val="ListLabel 69"/>
    <w:rsid w:val="0023539C"/>
  </w:style>
  <w:style w:type="character" w:customStyle="1" w:styleId="ListLabel70">
    <w:name w:val="ListLabel 70"/>
    <w:rsid w:val="0023539C"/>
  </w:style>
  <w:style w:type="character" w:customStyle="1" w:styleId="ListLabel71">
    <w:name w:val="ListLabel 71"/>
    <w:rsid w:val="0023539C"/>
  </w:style>
  <w:style w:type="character" w:customStyle="1" w:styleId="ListLabel72">
    <w:name w:val="ListLabel 72"/>
    <w:rsid w:val="0023539C"/>
  </w:style>
  <w:style w:type="character" w:customStyle="1" w:styleId="ListLabel73">
    <w:name w:val="ListLabel 73"/>
    <w:rsid w:val="0023539C"/>
  </w:style>
  <w:style w:type="character" w:customStyle="1" w:styleId="ListLabel74">
    <w:name w:val="ListLabel 74"/>
    <w:rsid w:val="0023539C"/>
  </w:style>
  <w:style w:type="character" w:customStyle="1" w:styleId="ListLabel75">
    <w:name w:val="ListLabel 75"/>
    <w:rsid w:val="0023539C"/>
  </w:style>
  <w:style w:type="character" w:customStyle="1" w:styleId="ListLabel76">
    <w:name w:val="ListLabel 76"/>
    <w:rsid w:val="0023539C"/>
  </w:style>
  <w:style w:type="character" w:customStyle="1" w:styleId="ListLabel77">
    <w:name w:val="ListLabel 77"/>
    <w:rsid w:val="0023539C"/>
  </w:style>
  <w:style w:type="character" w:customStyle="1" w:styleId="ListLabel78">
    <w:name w:val="ListLabel 78"/>
    <w:rsid w:val="0023539C"/>
  </w:style>
  <w:style w:type="character" w:customStyle="1" w:styleId="ListLabel79">
    <w:name w:val="ListLabel 79"/>
    <w:rsid w:val="0023539C"/>
  </w:style>
  <w:style w:type="character" w:customStyle="1" w:styleId="ListLabel80">
    <w:name w:val="ListLabel 80"/>
    <w:rsid w:val="0023539C"/>
  </w:style>
  <w:style w:type="character" w:customStyle="1" w:styleId="ListLabel81">
    <w:name w:val="ListLabel 81"/>
    <w:rsid w:val="0023539C"/>
  </w:style>
  <w:style w:type="character" w:customStyle="1" w:styleId="ListLabel82">
    <w:name w:val="ListLabel 82"/>
    <w:rsid w:val="0023539C"/>
  </w:style>
  <w:style w:type="character" w:customStyle="1" w:styleId="ListLabel83">
    <w:name w:val="ListLabel 83"/>
    <w:rsid w:val="0023539C"/>
  </w:style>
  <w:style w:type="character" w:customStyle="1" w:styleId="ListLabel84">
    <w:name w:val="ListLabel 84"/>
    <w:rsid w:val="0023539C"/>
  </w:style>
  <w:style w:type="character" w:customStyle="1" w:styleId="ListLabel85">
    <w:name w:val="ListLabel 85"/>
    <w:rsid w:val="0023539C"/>
  </w:style>
  <w:style w:type="character" w:customStyle="1" w:styleId="ListLabel86">
    <w:name w:val="ListLabel 86"/>
    <w:rsid w:val="0023539C"/>
  </w:style>
  <w:style w:type="character" w:customStyle="1" w:styleId="ListLabel87">
    <w:name w:val="ListLabel 87"/>
    <w:rsid w:val="0023539C"/>
  </w:style>
  <w:style w:type="character" w:customStyle="1" w:styleId="ListLabel88">
    <w:name w:val="ListLabel 88"/>
    <w:rsid w:val="0023539C"/>
  </w:style>
  <w:style w:type="character" w:customStyle="1" w:styleId="ListLabel89">
    <w:name w:val="ListLabel 89"/>
    <w:rsid w:val="0023539C"/>
  </w:style>
  <w:style w:type="character" w:customStyle="1" w:styleId="ListLabel90">
    <w:name w:val="ListLabel 90"/>
    <w:rsid w:val="0023539C"/>
  </w:style>
  <w:style w:type="character" w:customStyle="1" w:styleId="ListLabel91">
    <w:name w:val="ListLabel 91"/>
    <w:rsid w:val="0023539C"/>
  </w:style>
  <w:style w:type="character" w:customStyle="1" w:styleId="ListLabel92">
    <w:name w:val="ListLabel 92"/>
    <w:rsid w:val="0023539C"/>
  </w:style>
  <w:style w:type="character" w:customStyle="1" w:styleId="ListLabel93">
    <w:name w:val="ListLabel 93"/>
    <w:rsid w:val="0023539C"/>
  </w:style>
  <w:style w:type="character" w:customStyle="1" w:styleId="ListLabel94">
    <w:name w:val="ListLabel 94"/>
    <w:rsid w:val="0023539C"/>
  </w:style>
  <w:style w:type="character" w:customStyle="1" w:styleId="ListLabel95">
    <w:name w:val="ListLabel 95"/>
    <w:rsid w:val="0023539C"/>
  </w:style>
  <w:style w:type="character" w:customStyle="1" w:styleId="ListLabel96">
    <w:name w:val="ListLabel 96"/>
    <w:rsid w:val="0023539C"/>
  </w:style>
  <w:style w:type="character" w:customStyle="1" w:styleId="ListLabel97">
    <w:name w:val="ListLabel 97"/>
    <w:rsid w:val="0023539C"/>
  </w:style>
  <w:style w:type="character" w:customStyle="1" w:styleId="ListLabel98">
    <w:name w:val="ListLabel 98"/>
    <w:rsid w:val="0023539C"/>
  </w:style>
  <w:style w:type="character" w:customStyle="1" w:styleId="ListLabel99">
    <w:name w:val="ListLabel 99"/>
    <w:rsid w:val="0023539C"/>
  </w:style>
  <w:style w:type="character" w:customStyle="1" w:styleId="ListLabel100">
    <w:name w:val="ListLabel 100"/>
    <w:rsid w:val="0023539C"/>
  </w:style>
  <w:style w:type="character" w:customStyle="1" w:styleId="ListLabel101">
    <w:name w:val="ListLabel 101"/>
    <w:rsid w:val="0023539C"/>
  </w:style>
  <w:style w:type="character" w:customStyle="1" w:styleId="ListLabel102">
    <w:name w:val="ListLabel 102"/>
    <w:rsid w:val="0023539C"/>
  </w:style>
  <w:style w:type="character" w:customStyle="1" w:styleId="ListLabel103">
    <w:name w:val="ListLabel 103"/>
    <w:rsid w:val="0023539C"/>
  </w:style>
  <w:style w:type="character" w:customStyle="1" w:styleId="ListLabel104">
    <w:name w:val="ListLabel 104"/>
    <w:rsid w:val="0023539C"/>
  </w:style>
  <w:style w:type="character" w:customStyle="1" w:styleId="ListLabel105">
    <w:name w:val="ListLabel 105"/>
    <w:rsid w:val="0023539C"/>
  </w:style>
  <w:style w:type="character" w:customStyle="1" w:styleId="ListLabel106">
    <w:name w:val="ListLabel 106"/>
    <w:rsid w:val="0023539C"/>
  </w:style>
  <w:style w:type="character" w:customStyle="1" w:styleId="ListLabel107">
    <w:name w:val="ListLabel 107"/>
    <w:rsid w:val="0023539C"/>
  </w:style>
  <w:style w:type="character" w:customStyle="1" w:styleId="ListLabel108">
    <w:name w:val="ListLabel 108"/>
    <w:rsid w:val="0023539C"/>
  </w:style>
  <w:style w:type="paragraph" w:customStyle="1" w:styleId="Heading">
    <w:name w:val="Heading"/>
    <w:basedOn w:val="Normal"/>
    <w:next w:val="BodyText"/>
    <w:rsid w:val="0023539C"/>
    <w:pPr>
      <w:keepNext/>
      <w:suppressAutoHyphens/>
      <w:spacing w:before="240"/>
      <w:ind w:firstLine="0"/>
      <w:jc w:val="left"/>
    </w:pPr>
    <w:rPr>
      <w:rFonts w:ascii="Liberation Sans" w:eastAsia="Noto Sans CJK SC" w:hAnsi="Liberation Sans" w:cs="FreeSans"/>
      <w:sz w:val="28"/>
      <w:szCs w:val="28"/>
      <w:lang w:eastAsia="en-GB"/>
    </w:rPr>
  </w:style>
  <w:style w:type="paragraph" w:styleId="BodyText">
    <w:name w:val="Body Text"/>
    <w:basedOn w:val="Normal"/>
    <w:link w:val="BodyTextChar"/>
    <w:rsid w:val="0023539C"/>
    <w:pPr>
      <w:suppressAutoHyphens/>
      <w:spacing w:before="0" w:after="140" w:line="276" w:lineRule="auto"/>
      <w:ind w:firstLine="0"/>
      <w:jc w:val="left"/>
    </w:pPr>
    <w:rPr>
      <w:rFonts w:ascii="Times New Roman" w:eastAsia="Times New Roman" w:hAnsi="Times New Roman" w:cs="Times New Roman"/>
      <w:sz w:val="24"/>
      <w:szCs w:val="24"/>
      <w:lang w:eastAsia="en-GB"/>
    </w:rPr>
  </w:style>
  <w:style w:type="character" w:customStyle="1" w:styleId="BodyTextChar">
    <w:name w:val="Body Text Char"/>
    <w:link w:val="BodyText"/>
    <w:rsid w:val="0023539C"/>
    <w:rPr>
      <w:rFonts w:ascii="Times New Roman" w:eastAsia="Times New Roman" w:hAnsi="Times New Roman" w:cs="Times New Roman"/>
      <w:sz w:val="24"/>
      <w:szCs w:val="24"/>
      <w:lang w:eastAsia="en-GB"/>
    </w:rPr>
  </w:style>
  <w:style w:type="paragraph" w:styleId="List">
    <w:name w:val="List"/>
    <w:basedOn w:val="BodyText"/>
    <w:rsid w:val="0023539C"/>
    <w:rPr>
      <w:rFonts w:cs="FreeSans"/>
    </w:rPr>
  </w:style>
  <w:style w:type="paragraph" w:styleId="Caption">
    <w:name w:val="caption"/>
    <w:basedOn w:val="Normal"/>
    <w:qFormat/>
    <w:rsid w:val="0023539C"/>
    <w:pPr>
      <w:suppressLineNumbers/>
      <w:suppressAutoHyphens/>
      <w:ind w:firstLine="0"/>
      <w:jc w:val="left"/>
    </w:pPr>
    <w:rPr>
      <w:rFonts w:ascii="Times New Roman" w:eastAsia="Times New Roman" w:hAnsi="Times New Roman" w:cs="FreeSans"/>
      <w:i/>
      <w:iCs/>
      <w:sz w:val="24"/>
      <w:szCs w:val="24"/>
      <w:lang w:eastAsia="en-GB"/>
    </w:rPr>
  </w:style>
  <w:style w:type="paragraph" w:customStyle="1" w:styleId="Index">
    <w:name w:val="Index"/>
    <w:basedOn w:val="Normal"/>
    <w:rsid w:val="0023539C"/>
    <w:pPr>
      <w:suppressLineNumbers/>
      <w:suppressAutoHyphens/>
      <w:spacing w:before="0" w:after="0"/>
      <w:ind w:firstLine="0"/>
      <w:jc w:val="left"/>
    </w:pPr>
    <w:rPr>
      <w:rFonts w:ascii="Times New Roman" w:eastAsia="Times New Roman" w:hAnsi="Times New Roman" w:cs="FreeSans"/>
      <w:sz w:val="24"/>
      <w:szCs w:val="24"/>
      <w:lang w:eastAsia="en-GB"/>
    </w:rPr>
  </w:style>
  <w:style w:type="paragraph" w:styleId="Title">
    <w:name w:val="Title"/>
    <w:link w:val="TitleChar"/>
    <w:qFormat/>
    <w:rsid w:val="0023539C"/>
    <w:pPr>
      <w:suppressAutoHyphens/>
    </w:pPr>
    <w:rPr>
      <w:rFonts w:ascii="Times New Roman" w:eastAsia="Times New Roman" w:hAnsi="Times New Roman" w:cs="Times New Roman"/>
      <w:sz w:val="56"/>
      <w:szCs w:val="56"/>
      <w:lang w:eastAsia="en-GB"/>
    </w:rPr>
  </w:style>
  <w:style w:type="character" w:customStyle="1" w:styleId="TitleChar">
    <w:name w:val="Title Char"/>
    <w:link w:val="Title"/>
    <w:rsid w:val="0023539C"/>
    <w:rPr>
      <w:rFonts w:ascii="Times New Roman" w:eastAsia="Times New Roman" w:hAnsi="Times New Roman" w:cs="Times New Roman"/>
      <w:sz w:val="56"/>
      <w:szCs w:val="56"/>
      <w:lang w:eastAsia="en-GB"/>
    </w:rPr>
  </w:style>
  <w:style w:type="paragraph" w:customStyle="1" w:styleId="Strong1">
    <w:name w:val="Strong1"/>
    <w:rsid w:val="0023539C"/>
    <w:pPr>
      <w:suppressAutoHyphens/>
    </w:pPr>
    <w:rPr>
      <w:rFonts w:ascii="Times New Roman" w:eastAsia="Times New Roman" w:hAnsi="Times New Roman" w:cs="Times New Roman"/>
      <w:b/>
      <w:bCs/>
      <w:sz w:val="24"/>
      <w:szCs w:val="24"/>
      <w:lang w:eastAsia="en-GB"/>
    </w:rPr>
  </w:style>
  <w:style w:type="paragraph" w:customStyle="1" w:styleId="HeaderandFooter">
    <w:name w:val="Header and Footer"/>
    <w:basedOn w:val="Normal"/>
    <w:rsid w:val="0023539C"/>
    <w:pPr>
      <w:suppressAutoHyphens/>
      <w:spacing w:before="0" w:after="0"/>
      <w:ind w:firstLine="0"/>
      <w:jc w:val="left"/>
    </w:pPr>
    <w:rPr>
      <w:rFonts w:ascii="Times New Roman" w:eastAsia="Times New Roman" w:hAnsi="Times New Roman" w:cs="Times New Roman"/>
      <w:sz w:val="24"/>
      <w:szCs w:val="24"/>
      <w:lang w:eastAsia="en-GB"/>
    </w:rPr>
  </w:style>
  <w:style w:type="paragraph" w:customStyle="1" w:styleId="FrameContents">
    <w:name w:val="Frame Contents"/>
    <w:basedOn w:val="Normal"/>
    <w:rsid w:val="0023539C"/>
    <w:pPr>
      <w:suppressAutoHyphens/>
      <w:spacing w:before="0" w:after="0"/>
      <w:ind w:firstLine="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7CC9-B455-494D-8D1B-2918B76B76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16657</Words>
  <Characters>94946</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111381</CharactersWithSpaces>
  <SharedDoc>false</SharedDoc>
  <HLinks>
    <vt:vector size="12" baseType="variant">
      <vt:variant>
        <vt:i4>917615</vt:i4>
      </vt:variant>
      <vt:variant>
        <vt:i4>3</vt:i4>
      </vt:variant>
      <vt:variant>
        <vt:i4>0</vt:i4>
      </vt:variant>
      <vt:variant>
        <vt:i4>5</vt:i4>
      </vt:variant>
      <vt:variant>
        <vt:lpwstr>mailto:Hala.mostafa@arch.asu.edu.eg</vt:lpwstr>
      </vt:variant>
      <vt:variant>
        <vt:lpwstr/>
      </vt:variant>
      <vt:variant>
        <vt:i4>917615</vt:i4>
      </vt:variant>
      <vt:variant>
        <vt:i4>0</vt:i4>
      </vt:variant>
      <vt:variant>
        <vt:i4>0</vt:i4>
      </vt:variant>
      <vt:variant>
        <vt:i4>5</vt:i4>
      </vt:variant>
      <vt:variant>
        <vt:lpwstr>mailto:Hala.mostafa@arch.asu.edu.eg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Mostafa</dc:creator>
  <cp:keywords/>
  <cp:lastModifiedBy>anthony vondoom</cp:lastModifiedBy>
  <cp:revision>23</cp:revision>
  <cp:lastPrinted>2026-03-03T12:18:00Z</cp:lastPrinted>
  <dcterms:created xsi:type="dcterms:W3CDTF">2026-04-16T20:35:00Z</dcterms:created>
  <dcterms:modified xsi:type="dcterms:W3CDTF">2026-04-22T05:15:00Z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7db1e983-c8cc-4bb9-9066-cb637bbe1c79</vt:lpwstr>
  </property>
</Properties>
</file>