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Verdana" w:cs="Verdana" w:hAnsi="Verdana" w:eastAsia="Verdana"/>
        </w:rPr>
      </w:pPr>
      <w:r>
        <w:rPr>
          <w:rFonts w:ascii="Verdana" w:hAnsi="Verdana"/>
          <w:b w:val="1"/>
          <w:bCs w:val="1"/>
          <w:sz w:val="32"/>
          <w:szCs w:val="32"/>
          <w:rtl w:val="0"/>
          <w:lang w:val="en-US"/>
        </w:rPr>
        <w:t>TESTING THE GLOBAL FLOOD HYPOTHESIS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Verdana" w:cs="Verdana" w:hAnsi="Verdana" w:eastAsia="Verdana"/>
        </w:rPr>
      </w:pPr>
      <w:r>
        <w:rPr>
          <w:rFonts w:ascii="Verdana" w:hAnsi="Verdana"/>
          <w:i w:val="1"/>
          <w:iCs w:val="1"/>
          <w:sz w:val="24"/>
          <w:szCs w:val="24"/>
          <w:rtl w:val="0"/>
          <w:lang w:val="en-US"/>
        </w:rPr>
        <w:t>A Multi-Domain Falsification of the Noah's Ark Narrative Against Independent Physical Evidence</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Verdana" w:cs="Verdana" w:hAnsi="Verdana" w:eastAsia="Verdana"/>
        </w:rPr>
      </w:pPr>
      <w:r>
        <w:rPr>
          <w:rFonts w:ascii="Verdana" w:hAnsi="Verdana"/>
          <w:i w:val="1"/>
          <w:iCs w:val="1"/>
          <w:rtl w:val="0"/>
          <w:lang w:val="en-US"/>
        </w:rPr>
        <w:t>A Deep Symbolic Systems Model (DSSM) Companion Analysis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Verdana" w:cs="Verdana" w:hAnsi="Verdana" w:eastAsia="Verdana"/>
          <w:outline w:val="0"/>
          <w:color w:val="555555"/>
          <w:sz w:val="18"/>
          <w:szCs w:val="18"/>
          <w:u w:color="555555"/>
          <w14:textFill>
            <w14:solidFill>
              <w14:srgbClr w14:val="555555"/>
            </w14:solidFill>
          </w14:textFill>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Verdana" w:cs="Verdana" w:hAnsi="Verdana" w:eastAsia="Verdana"/>
        </w:rPr>
      </w:pPr>
      <w:r>
        <w:rPr>
          <w:rFonts w:ascii="Verdana" w:hAnsi="Verdana"/>
          <w:b w:val="1"/>
          <w:bCs w:val="1"/>
          <w:sz w:val="24"/>
          <w:szCs w:val="24"/>
          <w:rtl w:val="0"/>
          <w:lang w:val="en-US"/>
        </w:rPr>
        <w:t>Anthony Vondoom</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Verdana" w:cs="Verdana" w:hAnsi="Verdana" w:eastAsia="Verdana"/>
        </w:rPr>
      </w:pPr>
      <w:r>
        <w:rPr>
          <w:rFonts w:ascii="Verdana" w:hAnsi="Verdana"/>
          <w:i w:val="1"/>
          <w:iCs w:val="1"/>
          <w:sz w:val="20"/>
          <w:szCs w:val="20"/>
          <w:rtl w:val="0"/>
          <w:lang w:val="en-US"/>
        </w:rPr>
        <w:t>Independent Researcher, Cognitive Archaeology</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Verdana" w:cs="Verdana" w:hAnsi="Verdana" w:eastAsia="Verdana"/>
          <w:sz w:val="20"/>
          <w:szCs w:val="20"/>
        </w:rPr>
      </w:pPr>
      <w:r>
        <w:rPr>
          <w:rFonts w:ascii="Verdana" w:hAnsi="Verdana"/>
          <w:sz w:val="20"/>
          <w:szCs w:val="20"/>
          <w:rtl w:val="0"/>
        </w:rPr>
        <w:t xml:space="preserve">ORCID: 0009-0003-4953-1427 </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Verdana" w:cs="Verdana" w:hAnsi="Verdana" w:eastAsia="Verdana"/>
          <w:sz w:val="20"/>
          <w:szCs w:val="20"/>
        </w:rPr>
      </w:pPr>
      <w:r>
        <w:rPr>
          <w:rStyle w:val="Hyperlink.0"/>
          <w:rFonts w:ascii="Verdana" w:cs="Verdana" w:hAnsi="Verdana" w:eastAsia="Verdana"/>
        </w:rPr>
        <w:fldChar w:fldCharType="begin" w:fldLock="0"/>
      </w:r>
      <w:r>
        <w:rPr>
          <w:rStyle w:val="Hyperlink.0"/>
          <w:rFonts w:ascii="Verdana" w:cs="Verdana" w:hAnsi="Verdana" w:eastAsia="Verdana"/>
        </w:rPr>
        <w:instrText xml:space="preserve"> HYPERLINK "mailto:anthony.vondoom@outlook.com"</w:instrText>
      </w:r>
      <w:r>
        <w:rPr>
          <w:rStyle w:val="Hyperlink.0"/>
          <w:rFonts w:ascii="Verdana" w:cs="Verdana" w:hAnsi="Verdana" w:eastAsia="Verdana"/>
        </w:rPr>
        <w:fldChar w:fldCharType="separate" w:fldLock="0"/>
      </w:r>
      <w:r>
        <w:rPr>
          <w:rStyle w:val="Hyperlink.0"/>
          <w:rFonts w:ascii="Verdana" w:hAnsi="Verdana"/>
          <w:rtl w:val="0"/>
          <w:lang w:val="nl-NL"/>
        </w:rPr>
        <w:t>anthony.vondoom@outlook.com</w:t>
      </w:r>
      <w:r>
        <w:rPr>
          <w:rFonts w:ascii="Verdana" w:cs="Verdana" w:hAnsi="Verdana" w:eastAsia="Verdana"/>
        </w:rPr>
        <w:fldChar w:fldCharType="end" w:fldLock="0"/>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Verdana" w:cs="Verdana" w:hAnsi="Verdana" w:eastAsia="Verdana"/>
        </w:rPr>
      </w:pPr>
      <w:r>
        <w:rPr>
          <w:rStyle w:val="Hyperlink.0"/>
          <w:rFonts w:ascii="Verdana" w:cs="Verdana" w:hAnsi="Verdana" w:eastAsia="Verdana"/>
        </w:rPr>
        <w:fldChar w:fldCharType="begin" w:fldLock="0"/>
      </w:r>
      <w:r>
        <w:rPr>
          <w:rStyle w:val="Hyperlink.0"/>
          <w:rFonts w:ascii="Verdana" w:cs="Verdana" w:hAnsi="Verdana" w:eastAsia="Verdana"/>
        </w:rPr>
        <w:instrText xml:space="preserve"> HYPERLINK "http://www.dssm.academy"</w:instrText>
      </w:r>
      <w:r>
        <w:rPr>
          <w:rStyle w:val="Hyperlink.0"/>
          <w:rFonts w:ascii="Verdana" w:cs="Verdana" w:hAnsi="Verdana" w:eastAsia="Verdana"/>
        </w:rPr>
        <w:fldChar w:fldCharType="separate" w:fldLock="0"/>
      </w:r>
      <w:r>
        <w:rPr>
          <w:rStyle w:val="Hyperlink.0"/>
          <w:rFonts w:ascii="Verdana" w:hAnsi="Verdana"/>
          <w:rtl w:val="0"/>
          <w:lang w:val="it-IT"/>
        </w:rPr>
        <w:t>www.dssm.academy</w:t>
      </w:r>
      <w:r>
        <w:rPr>
          <w:rFonts w:ascii="Verdana" w:cs="Verdana" w:hAnsi="Verdana" w:eastAsia="Verdana"/>
        </w:rPr>
        <w:fldChar w:fldCharType="end" w:fldLock="0"/>
      </w:r>
      <w:r>
        <w:rPr>
          <w:rFonts w:ascii="Verdana" w:hAnsi="Verdana"/>
          <w:sz w:val="20"/>
          <w:szCs w:val="20"/>
          <w:rtl w:val="0"/>
          <w:lang w:val="it-IT"/>
        </w:rPr>
        <w:t xml:space="preserve"> </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Verdana" w:cs="Verdana" w:hAnsi="Verdana" w:eastAsia="Verdana"/>
        </w:rPr>
      </w:pPr>
      <w:r>
        <w:rPr>
          <w:rFonts w:ascii="Verdana" w:hAnsi="Verdana"/>
          <w:sz w:val="20"/>
          <w:szCs w:val="20"/>
          <w:rtl w:val="0"/>
        </w:rPr>
        <w:t>2026 | CC BY 4.0</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b w:val="1"/>
          <w:bCs w:val="1"/>
        </w:rPr>
      </w:pPr>
      <w:r>
        <w:rPr>
          <w:rFonts w:ascii="Verdana" w:hAnsi="Verdana"/>
          <w:b w:val="1"/>
          <w:bCs w:val="1"/>
          <w:rtl w:val="0"/>
          <w:lang w:val="de-DE"/>
        </w:rPr>
        <w:t>Abstract</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i w:val="1"/>
          <w:iCs w:val="1"/>
        </w:rPr>
      </w:pPr>
      <w:r>
        <w:rPr>
          <w:rFonts w:ascii="Verdana" w:hAnsi="Verdana"/>
          <w:i w:val="1"/>
          <w:iCs w:val="1"/>
          <w:rtl w:val="0"/>
          <w:lang w:val="en-US"/>
        </w:rPr>
        <w:t>The claim that a literal flood covered the planet within the past five to six thousand years, survived by eight people and paired animals aboard a single vessel, is widely dismissed but rarely tested as a formal hypothesis. This paper states the hypothesis precisely and tests it against seven independent domains: hydrology, glaciology, dendrochronology, population genetics, biogeography, historical continuity, and naval architecture, each using independent data, so failure across all seven is a strong falsification. It fails throughout: available water is roughly a third of what's required; ice-core and tree-ring records show no discontinuity across the proposed dates; no population bottleneck matches the timing; endemic distribution rules out single dispersal; literate civilizations show unbroken continuity; and no vessel of the stated size has survived at sea. The paper identifies excavated Mesopotamian flood strata as the tradition's probable kernel, amplified by the mechanism documented for the Sumerian Kings List.</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b w:val="1"/>
          <w:bCs w:val="1"/>
          <w:i w:val="1"/>
          <w:iCs w:val="1"/>
          <w:rtl w:val="0"/>
          <w:lang w:val="en-US"/>
        </w:rPr>
        <w:t>Keywords</w:t>
      </w:r>
      <w:r>
        <w:rPr>
          <w:rFonts w:ascii="Verdana" w:hAnsi="Verdana"/>
          <w:i w:val="1"/>
          <w:iCs w:val="1"/>
          <w:rtl w:val="0"/>
          <w:lang w:val="en-US"/>
        </w:rPr>
        <w:t>: Noah's Ark, global flood hypothesis, falsification, Sumerian Kings List, Shuruppak, Deep Symbolic Systems Model, DSSM, flood geology, population genetics, dendrochronology, naval architecture, comparative mythology</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numPr>
          <w:ilvl w:val="0"/>
          <w:numId w:val="2"/>
        </w:numPr>
        <w:jc w:val="both"/>
        <w:rPr>
          <w:rFonts w:ascii="Verdana" w:hAnsi="Verdana"/>
          <w:lang w:val="fr-FR"/>
        </w:rPr>
      </w:pPr>
      <w:r>
        <w:rPr>
          <w:rFonts w:ascii="Verdana" w:hAnsi="Verdana"/>
          <w:b w:val="1"/>
          <w:bCs w:val="1"/>
          <w:rtl w:val="0"/>
          <w:lang w:val="fr-FR"/>
        </w:rPr>
        <w:t>Introduction</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Critical treatments of Noah's Ark tend to proceed as a list of objections: not enough water, not enough room, not enough time. Each objection is usually correct, but presented individually and informally, the cumulative case reads as rhetorical accumulation rather than a coordinated test. This paper states the claim under examination as a single, precise, falsifiable hypothesis and evaluates it against seven independent physical-evidence domains, each governed by data and methodology that does not depend on the others being true or false.</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 xml:space="preserve">The hypothesis under test: </w:t>
      </w:r>
      <w:r>
        <w:rPr>
          <w:rFonts w:ascii="Verdana" w:hAnsi="Verdana"/>
          <w:i w:val="1"/>
          <w:iCs w:val="1"/>
          <w:rtl w:val="0"/>
          <w:lang w:val="en-US"/>
        </w:rPr>
        <w:t>a literal, global flood occurred within approximately the past five to six thousand years, submerged all terrestrial land including the highest mountains, and was survived by eight humans and paired or septupled populations of land-dwelling animal species aboard a single wooden vessel of the dimensions given in Genesis 6:15 (300 by 50 by 30 cubits).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This is deliberately narrower than the broader question of whether ancient Near Eastern cultures experienced and transmitted real, memorable flood events. They did. The Sumerian Kings List (SKL) sar-correction places a genuine pre-flood governance window at approximately 2,967 BCE (Vondoom, 2026a), consistent with excavated flood strata at Shuruppak dated to roughly 2,950 to 2,850 BCE (Schmidt, 1931; cited in MacDonald, 1988). That regional, historical flood memory is not the subject of this paper's falsification test and is treated separately, and constructively, in Section 6. What is tested here is the literal-global-vessel claim specifically: the version defended by young-earth creationist organizations, physically instantiated in built form at the Ark Encounter (Williamstown, Kentucky), and structurally distinct from the modest, local, and well-attested river flooding that most plausibly gave rise to the tradition.</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Section 2 surveys the positions actually held on this question, so that what follows addresses real arguments rather than a constructed strawman. Section 3 states the falsification methodology. Section 4 tests the hypothesis against seven independent domains. Section 5 engages directly with the most developed pro-feasibility literature. Section 6 identifies what does survive the analysis: the regional flood memory and its documented amplification into cosmological scale.</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b w:val="1"/>
          <w:bCs w:val="1"/>
        </w:rPr>
      </w:pPr>
      <w:r>
        <w:rPr>
          <w:rFonts w:ascii="Verdana" w:hAnsi="Verdana"/>
          <w:b w:val="1"/>
          <w:bCs w:val="1"/>
          <w:rtl w:val="0"/>
          <w:lang w:val="en-US"/>
        </w:rPr>
        <w:t>2. Survey of Existing Positions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Five distinct positions exist in the literature and public discourse surrounding this narrative, and they are not equally serious.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2.1 Young-earth literalism</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 xml:space="preserve">The position defended by the Institute for Creation Research and Answers in Genesis (AiG), holding that the flood was global, historical, and occurred within the past several thousand years. Its most developed technical defense is Woodmorappe (1996), </w:t>
      </w:r>
      <w:r>
        <w:rPr>
          <w:rFonts w:ascii="Verdana" w:hAnsi="Verdana"/>
          <w:i w:val="1"/>
          <w:iCs w:val="1"/>
          <w:rtl w:val="0"/>
          <w:lang w:val="en-US"/>
        </w:rPr>
        <w:t>Noah's Ark: A Feasibility Study</w:t>
      </w:r>
      <w:r>
        <w:rPr>
          <w:rFonts w:ascii="Verdana" w:hAnsi="Verdana"/>
          <w:rtl w:val="0"/>
          <w:lang w:val="en-US"/>
        </w:rPr>
        <w:t>, which calculates animal loading (7,428 mammal, 4,602 bird, and 3,724 reptile taxa at genus-level "kind" resolution) and argues the vessel could accommodate them within roughly 90 percent of available volume. This position is engaged directly in Section 5, and is physically instantiated as a built structure in the Ark Encounter (Williamstown, Kentucky, opened 2016), discussed in Section 4.7.</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2.2 Old-earth, geographically-local reframing</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Reasons to Believe and comparable old-earth organizations concede the hydrological shortfall directly: their own published calculation states that total planetary water is less than one quarter of the volume required to cover Earth's full terrain (Reasons to Believe, n.d., water-volume analysis cited in Section 4.1). Their reframing holds that the flood was universal to the human population that then existed, but not planetary in geographic extent. This position already accepts this paper's Section 4.1 finding; the analysis here addresses only the literal-global-vessel version.</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2.3 The Documentary Hypothesis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Mainstream critical biblical scholarship treats the Genesis flood narrative as a composite of two interwoven source traditions (conventionally labelled J and P), each carrying internally distinct details: one source gives two of every animal, the other gives seven pairs of "clean" animals; flood duration is forty days in one strand and roughly one hundred and fifty days in the other. This is not itself a physical-evidence argument, but it establishes that the received text is not even internally consistent about the event it describes, prior to any question of whether the event occurred.</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it-IT"/>
        </w:rPr>
        <w:t>2.4 Diffusionist comparative mythology</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Mainstream Near Eastern scholarship treats the Genesis flood narrative as a literary descendant of the Mesopotamian Atrahasis and Gilgamesh XI traditions, sharing the identical structural sequence of divine warning, vessel construction, a reconnaissance bird sent to locate land, and post-flood sacrifice (Lambert &amp; Millard, 1969; George, 2003; Walton, 1981). This position is not in tension with the present paper; Section 6 builds directly on it.</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2.5 Fringe catastrophism</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Sitchin (1976) and related literature invoking lost civilizations or extraterrestrial intervention, and Ron Wyatt's specific claims of having located Ark remains at Durup</w:t>
      </w:r>
      <w:r>
        <w:rPr>
          <w:rFonts w:ascii="Verdana" w:hAnsi="Verdana" w:hint="default"/>
          <w:rtl w:val="0"/>
        </w:rPr>
        <w:t>ı</w:t>
      </w:r>
      <w:r>
        <w:rPr>
          <w:rFonts w:ascii="Verdana" w:hAnsi="Verdana"/>
          <w:rtl w:val="0"/>
          <w:lang w:val="en-US"/>
        </w:rPr>
        <w:t>nar and other biblical-archaeology sites, are noted here only to be set aside; Wyatt's claims have been independently documented as fraudulent, including by geologists who examined his specific site claims and by the broader biblical-archaeology community (Isaak, 1998, section addressing Wyatt's claims directly), and are not treated as a serious position in what follows.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2.6 Regional flood-memory hypotheses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The position this paper ultimately supports (Section 6): that real, physically excavated, geographically local river-flood events on the Tigris-Euphrates system (Ur, Kish, Shuruppak) were preserved in oral tradition and progressively rescaled into cosmological register through the same amplification mechanism already documented for the SKL's reign-length data (Vondoom, 2026a) and for post-glacial coastal-inundation flood mythology generally (Vondoom, 2026b).</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b w:val="1"/>
          <w:bCs w:val="1"/>
        </w:rPr>
      </w:pPr>
      <w:r>
        <w:rPr>
          <w:rFonts w:ascii="Verdana" w:hAnsi="Verdana"/>
          <w:b w:val="1"/>
          <w:bCs w:val="1"/>
          <w:rtl w:val="0"/>
          <w:lang w:val="en-US"/>
        </w:rPr>
        <w:t>3. Methodology</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For the hypothesis stated in Section 1 to survive as a viable historical claim, it must not be contradicted by any independent physical-evidence domain capable of bearing on it. Seven domains were selected on the criterion of independence: each domain's dataset, dating method, and underlying assumptions are unconnected to the others, so that a failure in one domain cannot be explained away by adjusting the interpretation of another. A hypothesis that fails across all seven independent domains simultaneously is falsified in the strong sense used in the physical sciences, not merely disputed.</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The domains tested are: hydrology (is there sufficient water on Earth), glaciology (do continuous ice-core records show a discontinuity at the proposed date), dendrochronology (do continuous tree-ring records show a discontinuity), population genetics (do human and animal populations show a bottleneck of the required severity and timing), biogeography (is the distribution of endemic species compatible with single-point global dispersal and return), historical-administrative continuity (do literate civilizations outside Mesopotamia show a disruption at the proposed date), and naval architecture (is a wooden vessel of the stated dimensions structurally viable without materials the text does not describe). Each subsection in Section 4 states the specific, falsifiable prediction the hypothesis makes for that domain, followed by the observed evidence and a verdict.</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b w:val="1"/>
          <w:bCs w:val="1"/>
          <w:rtl w:val="0"/>
          <w:lang w:val="en-US"/>
        </w:rPr>
        <w:t>4. Domain-by-Domain Analysis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rPr>
        <w:t>4.1 Hydrology</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i w:val="1"/>
          <w:iCs w:val="1"/>
        </w:rPr>
      </w:pPr>
      <w:r>
        <w:rPr>
          <w:rFonts w:ascii="Verdana" w:hAnsi="Verdana"/>
          <w:i w:val="1"/>
          <w:iCs w:val="1"/>
          <w:rtl w:val="0"/>
          <w:lang w:val="en-US"/>
        </w:rPr>
        <w:t>Prediction: total available water on Earth must be sufficient to submerge all terrestrial land to the height of Earth's highest peak (Mount Everest, 8,849 m).</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 xml:space="preserve">Observed: Henderson, Hogan, Jinnah, and Terry (2018), in </w:t>
      </w:r>
      <w:r>
        <w:rPr>
          <w:rFonts w:ascii="Verdana" w:hAnsi="Verdana"/>
          <w:i w:val="1"/>
          <w:iCs w:val="1"/>
          <w:rtl w:val="0"/>
          <w:lang w:val="en-US"/>
        </w:rPr>
        <w:t>Physics Special Topics</w:t>
      </w:r>
      <w:r>
        <w:rPr>
          <w:rFonts w:ascii="Verdana" w:hAnsi="Verdana"/>
          <w:rtl w:val="0"/>
          <w:lang w:val="en-US"/>
        </w:rPr>
        <w:t>, a University of Leicester undergraduate physics journal (cited here as an illustrative order-of-magnitude calculation, not a disciplinary-journal source, given its undergraduate peer-review tier), calculate that flooding Earth to the height of Mount Everest's summit requires approximately 3.875 x 1018 cubic metres of water. The total volume of water on Earth in all forms combined (oceans, ice caps, groundwater, and atmospheric water) is approximately 1.4 x 1018 cubic metres, per United States Geological Survey figures cited directly by old-earth apologetics organization Reasons to Believe in their own published water-volume analysis (Reasons to Believe, n.d.), which states plainly that total planetary water is "less than a quarter of what would be required."</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rPr>
        <w:t>V</w:t>
      </w:r>
      <w:r>
        <w:rPr>
          <w:rFonts w:ascii="Verdana" w:hAnsi="Verdana"/>
          <w:i w:val="1"/>
          <w:iCs w:val="1"/>
          <w:rtl w:val="0"/>
          <w:lang w:val="en-US"/>
        </w:rPr>
        <w:t>erdict: fails. Available water is roughly one-third of the volume required, using a figure sourced from an organization with every incentive to find otherwise. No mechanism is proposed in the literal-flood literature for the origin of the shortfall or its subsequent disappearance.</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pt-PT"/>
        </w:rPr>
        <w:t>4.2 Glaciology</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i w:val="1"/>
          <w:iCs w:val="1"/>
        </w:rPr>
      </w:pPr>
      <w:r>
        <w:rPr>
          <w:rFonts w:ascii="Verdana" w:hAnsi="Verdana"/>
          <w:i w:val="1"/>
          <w:iCs w:val="1"/>
          <w:rtl w:val="0"/>
          <w:lang w:val="en-US"/>
        </w:rPr>
        <w:t>Prediction: a global inundation event submerging or disturbing polar ice sheets should produce a visible interruption, gap, or anomalous layer in any continuous annual-deposition ice record spanning the proposed flood date.</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 xml:space="preserve">Observed: the Greenland Ice Core Chronology (GICC05) provides an annually layer-counted, continuous stratigraphic record extending 60,000 years into the past (Svensson et al., 2008, </w:t>
      </w:r>
      <w:r>
        <w:rPr>
          <w:rFonts w:ascii="Verdana" w:hAnsi="Verdana"/>
          <w:i w:val="1"/>
          <w:iCs w:val="1"/>
          <w:rtl w:val="0"/>
          <w:lang w:val="en-US"/>
        </w:rPr>
        <w:t>Climate of the Past</w:t>
      </w:r>
      <w:r>
        <w:rPr>
          <w:rFonts w:ascii="Verdana" w:hAnsi="Verdana"/>
          <w:rtl w:val="0"/>
          <w:lang w:val="en-US"/>
        </w:rPr>
        <w:t xml:space="preserve">, 4, 47-57), independently cross-validated across multiple ice cores (DYE-3, GRIP, NorthGRIP, NEEM, EGRIP), and is the record that actually spans the proposed flood window (approximately 2,900 to 3,570 BCE, per Vondoom 2026a's SKL correction range). A subsequent refinement, GICC21 (Sinnl et al., 2022, </w:t>
      </w:r>
      <w:r>
        <w:rPr>
          <w:rFonts w:ascii="Verdana" w:hAnsi="Verdana"/>
          <w:i w:val="1"/>
          <w:iCs w:val="1"/>
          <w:rtl w:val="0"/>
          <w:lang w:val="en-US"/>
        </w:rPr>
        <w:t>Climate of the Past</w:t>
      </w:r>
      <w:r>
        <w:rPr>
          <w:rFonts w:ascii="Verdana" w:hAnsi="Verdana"/>
          <w:rtl w:val="0"/>
          <w:lang w:val="en-US"/>
        </w:rPr>
        <w:t>, 18(5), 1125-1150, peer-reviewed, published 24 May 2022), improves precision using additional volcanic and cosmogenic tie-points, but its stated coverage reaches only 3,800 years before present, approximately 1,800 BCE; it does not itself extend back far enough to bear on this paper's proposed flood window and is cited here for methodological context only, not as direct evidence for this specific period.</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The strength of the null result rests on method, not on any single sentence in either source addressing this window by name: annual-layer counting is the chronology's own construction method, meaning any event severe enough to disrupt the Greenland ice sheet, which a flood submerging terrain to Everest's height would necessarily do, would break the annual layer count at that point. No such break, gap, or renumbering is reported anywhere across GICC05's full 60,000-year span, including the proposed flood window. The absence is therefore a structural feature of the published chronology, not an unaddressed gap in the literature.</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i w:val="1"/>
          <w:iCs w:val="1"/>
        </w:rPr>
      </w:pPr>
      <w:r>
        <w:rPr>
          <w:rFonts w:ascii="Verdana" w:hAnsi="Verdana"/>
          <w:i w:val="1"/>
          <w:iCs w:val="1"/>
          <w:rtl w:val="0"/>
          <w:lang w:val="en-US"/>
        </w:rPr>
        <w:t>Verdict: fails. A record whose entire methodology would register the proposed event as a break in annual layer counting shows no such break at any point in the window.</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4.3 Dendrochronology</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i w:val="1"/>
          <w:iCs w:val="1"/>
        </w:rPr>
      </w:pPr>
      <w:r>
        <w:rPr>
          <w:rFonts w:ascii="Verdana" w:hAnsi="Verdana"/>
          <w:i w:val="1"/>
          <w:iCs w:val="1"/>
          <w:rtl w:val="0"/>
          <w:lang w:val="en-US"/>
        </w:rPr>
        <w:t>Prediction: trees cannot lay down annual growth rings while submerged for an extended period; a global flood should produce a gap or anomaly in any continuous tree-ring chronology spanning the proposed date.</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 xml:space="preserve">Observed: bristlecone pine chronologies from the White Mountains of California, cross-matched between living specimens and dead wood by Ferguson (1969, </w:t>
      </w:r>
      <w:r>
        <w:rPr>
          <w:rFonts w:ascii="Verdana" w:hAnsi="Verdana"/>
          <w:i w:val="1"/>
          <w:iCs w:val="1"/>
          <w:rtl w:val="0"/>
          <w:lang w:val="en-US"/>
        </w:rPr>
        <w:t>Tree-Ring Bulletin</w:t>
      </w:r>
      <w:r>
        <w:rPr>
          <w:rFonts w:ascii="Verdana" w:hAnsi="Verdana"/>
          <w:rtl w:val="0"/>
          <w:lang w:val="en-US"/>
        </w:rPr>
        <w:t>, 29, 3-29) and extended by subsequent work at the Laboratory of Tree-Ring Research, University of Arizona, produce a continuous ring sequence extending over 7,000 years into the past.</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As with Section 4.2, the strength of this result rests on the chronology's construction method rather than on a source explicitly addressing this specific window: cross-dating works by matching the unique ring-width pattern of overlapping living and dead specimens across their shared years, so that a chronology can only be built as continuous if no gap exists in that overlap. A period during which trees at this site failed to grow, whether from submergence or any other cause, would break the cross-match and be visible in the chronology as an unresolvable gap, which cross-dating cannot paper over. No such gap is reported anywhere in the published chronology, including the proposed flood window.</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i w:val="1"/>
          <w:iCs w:val="1"/>
        </w:rPr>
      </w:pPr>
      <w:r>
        <w:rPr>
          <w:rFonts w:ascii="Verdana" w:hAnsi="Verdana"/>
          <w:i w:val="1"/>
          <w:iCs w:val="1"/>
          <w:rtl w:val="0"/>
          <w:lang w:val="en-US"/>
        </w:rPr>
        <w:t>Verdict: fails, by the same logical structure as Section 4.2, using an entirely independent method, an entirely independent dataset, and an entirely independent research tradition.</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4.4 Population genetics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i w:val="1"/>
          <w:iCs w:val="1"/>
        </w:rPr>
      </w:pPr>
      <w:r>
        <w:rPr>
          <w:rFonts w:ascii="Verdana" w:hAnsi="Verdana"/>
          <w:i w:val="1"/>
          <w:iCs w:val="1"/>
          <w:rtl w:val="0"/>
          <w:lang w:val="en-US"/>
        </w:rPr>
        <w:t>Prediction: modern human genetic diversity, and the genetic diversity of every land-dwelling animal species, should show a severe population bottleneck (three breeding pairs for humans; two to seven individuals per species for animals) dated to approximately 4,500 years before present.</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i w:val="1"/>
          <w:iCs w:val="1"/>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 xml:space="preserve">Observed: population-bottleneck research using genome-wide allele-sharing methods has identified real, dated, well-characterized human bottleneck events, including a major "out of Africa" bottleneck and a Bering Strait founder event (Amos &amp; Hoffman, 2010, </w:t>
      </w:r>
      <w:r>
        <w:rPr>
          <w:rFonts w:ascii="Verdana" w:hAnsi="Verdana"/>
          <w:i w:val="1"/>
          <w:iCs w:val="1"/>
          <w:rtl w:val="0"/>
          <w:lang w:val="en-US"/>
        </w:rPr>
        <w:t>Proceedings of the Royal Society B</w:t>
      </w:r>
      <w:r>
        <w:rPr>
          <w:rFonts w:ascii="Verdana" w:hAnsi="Verdana"/>
          <w:rtl w:val="0"/>
          <w:lang w:val="en-US"/>
        </w:rPr>
        <w:t>, 277, 131-137), and a large-scale survey of over 4,000 ancient and contemporary genomes has documented founder events across more than half of the world's populations, each independently dated and geographically located, correlating with known historical and archaeological events such as Anatolian farmer migration into Europe (approximately 4,000 to 10,000 years before present) and Rapa Nui colonization (approximately 260 years before present) (Tournebize, Chu, &amp; Moorjani, 2022, using the ASCEND method, published in PLOS Genetics, 18(6), e1010243, peer-reviewed). No study identifies a single, simultaneous, species-wide bottleneck across humans and the full range of land animal taxa dated to approximately 2,500 to 3,000 BCE.</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i w:val="1"/>
          <w:iCs w:val="1"/>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i w:val="1"/>
          <w:iCs w:val="1"/>
        </w:rPr>
      </w:pPr>
      <w:r>
        <w:rPr>
          <w:rFonts w:ascii="Verdana" w:hAnsi="Verdana"/>
          <w:i w:val="1"/>
          <w:iCs w:val="1"/>
          <w:rtl w:val="0"/>
          <w:lang w:val="en-US"/>
        </w:rPr>
        <w:t>Verdict: fails. Genuine population bottlenecks exist in the genomic record, are independently dated, and none matches the required timing, universality, or severity.</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i w:val="1"/>
          <w:iCs w:val="1"/>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fr-FR"/>
        </w:rPr>
        <w:t>4.5 Biogeography</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i w:val="1"/>
          <w:iCs w:val="1"/>
        </w:rPr>
      </w:pPr>
      <w:r>
        <w:rPr>
          <w:rFonts w:ascii="Verdana" w:hAnsi="Verdana"/>
          <w:i w:val="1"/>
          <w:iCs w:val="1"/>
          <w:rtl w:val="0"/>
          <w:lang w:val="en-US"/>
        </w:rPr>
        <w:t>Prediction: species with narrow, geographically fixed ecological dependencies must be capable of traveling to a single vessel's assembly point and returning afterward to isolated, often oceanic, ranges without their specific and often singular food source. The foundational framework for understanding species distribution, MacArthur and Wilson's Theory of Island Biogeography (1967), establishes that endemic distribution patterns are explained by isolation, colonization, and extinction dynamics operating over geological timescales, not single-event dispersal and return.</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i w:val="1"/>
          <w:iCs w:val="1"/>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Observed: species such as the koala (obligate near-exclusive eucalyptus browser, confined to Australia) and numerous lemur species (confined to Madagascar, isolated by open ocean for millions of years) have no documented capacity for the transoceanic travel the hypothesis requires, twice, without access to their specific dietary requirements during transit.</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i w:val="1"/>
          <w:iCs w:val="1"/>
        </w:rPr>
      </w:pPr>
      <w:r>
        <w:rPr>
          <w:rFonts w:ascii="Verdana" w:hAnsi="Verdana"/>
          <w:i w:val="1"/>
          <w:iCs w:val="1"/>
          <w:rtl w:val="0"/>
          <w:lang w:val="en-US"/>
        </w:rPr>
        <w:t>Verdict: fails. No proposed mechanism accounts for oceanic-isolate endemism surviving the hypothesis's travel requirements.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4.6 Historical and administrative continuity</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i w:val="1"/>
          <w:iCs w:val="1"/>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i w:val="1"/>
          <w:iCs w:val="1"/>
        </w:rPr>
      </w:pPr>
      <w:r>
        <w:rPr>
          <w:rFonts w:ascii="Verdana" w:hAnsi="Verdana"/>
          <w:i w:val="1"/>
          <w:iCs w:val="1"/>
          <w:rtl w:val="0"/>
          <w:lang w:val="en-US"/>
        </w:rPr>
        <w:t>Prediction: literate or proto-literate civilizations outside Mesopotamia should show a population-replacement event, administrative gap, or dynastic discontinuity at the proposed flood date, if the entirety of humanity outside a single vessel perished.</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Observed: Egypt's Old Kingdom shows continuous administrative and dynastic development through the relevant window (Shaw, 2000), with no gap corresponding to any candidate flood date. The Indus Valley civilization at Harappa and Mohenjo-daro shows continuous development through its documented florescence (Kenoyer, 1998). No comparable discontinuity is reported for early Chinese cultural development across the same window.</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i w:val="1"/>
          <w:iCs w:val="1"/>
        </w:rPr>
      </w:pPr>
      <w:r>
        <w:rPr>
          <w:rFonts w:ascii="Verdana" w:hAnsi="Verdana"/>
          <w:i w:val="1"/>
          <w:iCs w:val="1"/>
          <w:rtl w:val="0"/>
          <w:lang w:val="en-US"/>
        </w:rPr>
        <w:t>Verdict: fails. A planet-scale extinction event limited to eight survivors should leave an unmistakable signature in every independently developing civilization's own continuity record. None shows one.</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4.7 Naval architecture</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i w:val="1"/>
          <w:iCs w:val="1"/>
        </w:rPr>
      </w:pPr>
      <w:r>
        <w:rPr>
          <w:rFonts w:ascii="Verdana" w:hAnsi="Verdana"/>
          <w:i w:val="1"/>
          <w:iCs w:val="1"/>
          <w:rtl w:val="0"/>
          <w:lang w:val="en-US"/>
        </w:rPr>
        <w:t>Prediction: a wooden vessel of the stated dimensions (approximately 135 to 157 metres depending on cubit standard used) must be structurally viable at sea for an extended period without metal reinforcement, which the text does not describe.</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 xml:space="preserve">Observed: the largest wooden sailing ship ever built by any human civilization, the six-masted schooner </w:t>
      </w:r>
      <w:r>
        <w:rPr>
          <w:rFonts w:ascii="Verdana" w:hAnsi="Verdana"/>
          <w:i w:val="1"/>
          <w:iCs w:val="1"/>
          <w:rtl w:val="0"/>
          <w:lang w:val="en-US"/>
        </w:rPr>
        <w:t>Wyoming</w:t>
      </w:r>
      <w:r>
        <w:rPr>
          <w:rFonts w:ascii="Verdana" w:hAnsi="Verdana"/>
          <w:rtl w:val="0"/>
          <w:lang w:val="en-US"/>
        </w:rPr>
        <w:t xml:space="preserve"> (launched 15 December 1909, Bath, Maine; 140 m length, gross tonnage 3,730, Guinness World Records), was fitted with internal steel bracing to counter hull flexing ("hogging") under sea conditions, reinforced further after entering service. Despite this, crews reported continuous flexing, buckled deck planking, and chronic leaking requiring constant bilge pumping; the vessel was lost with all hands in a storm off Nantucket Sound on 11 March 1924, fifteen years after launch. </w:t>
      </w:r>
      <w:r>
        <w:rPr>
          <w:rFonts w:ascii="Verdana" w:hAnsi="Verdana"/>
          <w:i w:val="1"/>
          <w:iCs w:val="1"/>
          <w:rtl w:val="0"/>
          <w:lang w:val="en-US"/>
        </w:rPr>
        <w:t>A History of Technology</w:t>
      </w:r>
      <w:r>
        <w:rPr>
          <w:rFonts w:ascii="Verdana" w:hAnsi="Verdana"/>
          <w:rtl w:val="0"/>
          <w:lang w:val="en-US"/>
        </w:rPr>
        <w:t xml:space="preserve"> (Vol. 5, Oxford University Press, p. 355) records a practical upper limit of approximately 300 feet (91 m) for wooden ship length, on the grounds that wood cannot provide a sufficiently rigid bow-to-stern connection and that tensile stress from wave action increases with length; vessels built beyond this length, the Wyoming included, required metal reinforcement and still suffered chronic structural failure.</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i w:val="1"/>
          <w:iCs w:val="1"/>
        </w:rPr>
      </w:pPr>
      <w:r>
        <w:rPr>
          <w:rFonts w:ascii="Verdana" w:hAnsi="Verdana"/>
          <w:i w:val="1"/>
          <w:iCs w:val="1"/>
          <w:rtl w:val="0"/>
          <w:lang w:val="en-US"/>
        </w:rPr>
        <w:t>Verdict: fails. The stated dimensions meet or exceed the demonstrated practical limit of wooden ship construction achieved only with industrial-era metallurgical reinforcement the text does not describe, sustained not for a multi-year cargo run but for continuous storm-scale conditions over more than a year.</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i w:val="1"/>
          <w:iCs w:val="1"/>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b w:val="1"/>
          <w:bCs w:val="1"/>
        </w:rPr>
      </w:pPr>
      <w:r>
        <w:rPr>
          <w:rFonts w:ascii="Verdana" w:hAnsi="Verdana"/>
          <w:b w:val="1"/>
          <w:bCs w:val="1"/>
          <w:rtl w:val="0"/>
          <w:lang w:val="en-US"/>
        </w:rPr>
        <w:t>5. Engagement with the Leading Counter-Literature</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 xml:space="preserve">The strongest technical defense of feasibility remains Woodmorappe (1996), </w:t>
      </w:r>
      <w:r>
        <w:rPr>
          <w:rFonts w:ascii="Verdana" w:hAnsi="Verdana"/>
          <w:i w:val="1"/>
          <w:iCs w:val="1"/>
          <w:rtl w:val="0"/>
          <w:lang w:val="en-US"/>
        </w:rPr>
        <w:t>Noah's Ark: A Feasibility Study</w:t>
      </w:r>
      <w:r>
        <w:rPr>
          <w:rFonts w:ascii="Verdana" w:hAnsi="Verdana"/>
          <w:rtl w:val="0"/>
          <w:lang w:val="en-US"/>
        </w:rPr>
        <w:t xml:space="preserve"> (Institute for Creation Research), which draws on approximately 1,400 references and claims the animal population fits within roughly 90 percent of available ark volume, using genus-level "kind" taxonomy rather than species-level counts.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Isaak (1998), "Problems with a Global Flood" (TalkOrigins Archive), provides a published, itemized rebuttal that identifies specific errors in the underlying calculation: species-level taxonomy (the more defensible unit of "kind" in context) increases the animal load three- to four-fold over Woodmorappe's genus-level count; land invertebrates, which must logically be aboard, are excluded from the calculation entirely; and no allowance is made for food spoilage or water loss over the voyage's duration, despite Woodmorappe's own described conditions guaranteeing both. Corrected for these factors, the load exceeds the vessel's available volume.</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 xml:space="preserve">The modern full-scale attempt at literal construction, the Ark Encounter (Williamstown, Kentucky; opened July 2016; Answers in Genesis; architect LeRoy Troyer, Troyer Group), is instructive as what might be called hostile-witness evidence. AiG's original plan, before Troyer's involvement, was a steel-core hull with a wood facade; Troyer proposed a genuine heavy-timber structure instead. Even so, the completed structure required </w:t>
      </w:r>
      <w:r>
        <w:rPr>
          <w:rFonts w:ascii="Verdana" w:hAnsi="Verdana"/>
          <w:i w:val="1"/>
          <w:iCs w:val="1"/>
          <w:rtl w:val="0"/>
          <w:lang w:val="en-US"/>
        </w:rPr>
        <w:t>190,000 pounds of custom steel plate across more than 4,000 structural connections</w:t>
      </w:r>
      <w:r>
        <w:rPr>
          <w:rFonts w:ascii="Verdana" w:hAnsi="Verdana"/>
          <w:rtl w:val="0"/>
          <w:lang w:val="en-US"/>
        </w:rPr>
        <w:t xml:space="preserve"> (Troyer, reported in Architect Magazine, 2016) to hold the timber frame together, and rests permanently on 100 concrete piers approximately 15 feet (4.6 m) tall. It has never been floated and was not designed to be. The organization most invested in defending the account's literal feasibility, given a completely free choice of materials and full modern engineering resources, still could not hold a wooden structure of this size together without industrial steel hardware at every joint, and did not attempt to build a vessel that floats. That combination is difficult to reconcile with a genuine claim of structural feasibility using only Bronze Age materials and tools.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b w:val="1"/>
          <w:bCs w:val="1"/>
        </w:rPr>
      </w:pPr>
      <w:r>
        <w:rPr>
          <w:rFonts w:ascii="Verdana" w:hAnsi="Verdana"/>
          <w:b w:val="1"/>
          <w:bCs w:val="1"/>
          <w:rtl w:val="0"/>
          <w:lang w:val="en-US"/>
        </w:rPr>
        <w:t>6. The Regional Flood Evidence and the Amplification Mechanism</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6.1 What is physically attested</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Excavated flood strata exist at three Mesopotamian sites, at different depths and different dates: Ur, dated to approximately 3,500 BCE (Woolley, 1929, 1955), a deposit up to 3.4 metres thick; Kish, showing two separate flood events at the end of Early Dynastic I and the start of Early Dynastic II, approximately 3,000 to 2,900 BCE, and a third, more substantial flood dated to Early Dynastic III, approximately 2,600 BCE (Langdon &amp; Watelin excavations, 1928-1929; Watelin, 1934); and Shuruppak, dated to approximately 2,950 to 2,850 BCE (Schmidt, 1931), a comparatively thin deposit of roughly fifteen inches. Mallowan (1964) and the synthesis in MacDonald (1988) caution explicitly against treating any single one of these strata as confirmed identification with the literary Flood tradition: the deposits differ enormously in scale (up to eleven feet at Ur against roughly ten to fifteen inches at Kish and Shuruppak), occur at different calendar dates centuries apart, and Eridu, a mere seven kilometres from Ur, shows no trace of the Ur flood at all despite deliberate investigation.</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This caution is worth stating plainly rather than smoothing over: the honest position is that southern Mesopotamia experienced recurring, locally severe river flooding across several centuries around the turn of the third millennium BCE, consistent with river avulsion in the Tigris-Euphrates system, and that this recurring regional hazard is the most defensible physical referent for the literary tradition, without claiming certainty that any one excavated stratum is "the" flood of the text.</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6.2 The same distortion signature, twice</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Vondoom (2026a) demonstrates that the SKL's antediluvian reign lengths, most spanning hundreds of thousands of years in the received text, resolve to plausible 8-to-12-year individual reigns (67 years total) when divided by the Sumerian sar (3,600), the mathematical signature of a scribe encoding a genuine dynastic memory in sexagesimal units rather than literal years. The same eight sentences of the same document tradition that carry this distortion also carry the flood narrative's own scale: a locally bounded, centuries-long pattern of Tigris-Euphrates river flooding, rendered in a culture's cosmological narrative register as "kingship descended from heaven" twice, bracketing a single world-ending deluge. These are not two unrelated claims requiring two separate arguments. They are two symptoms of the identical amplification process, operating on the identical material, in the identical compositional tradition: a scribal and oral culture whose register for marking significant events was cosmological scale, not proportionate description.</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6.3 The general mechanism</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The general process by which a locally bounded catastrophic event enters oral tradition and is progressively rescaled into cosmological register, across the broader Fertile Crescent and post-glacial coastal flood-narrative family, is treated at length in Vondoom (2026b), "The Oldest Journalism: Post-LGM Coastal Inundation, Oral Transmission, and the Geographic Distribution of Flood Mythology," which documents the DSSM Stage 2 oral-transmission mechanism, its empirical confirmation in the Australian Aboriginal coastal-memory record (Nunn &amp; Reid, 2015), and the reinforcement dynamic by which continued, generation-spanning coastal loss kept the ancestral narrative experientially confirmed rather than allowed to degrade. That paper's own citation of Dwarka's submergence, dated there to approximately 1,500 BCE (Rao, 1999), is the figure that should be used in any cross-reference to this paper; it is not the same figure as the traditional 3,102 BCE Puranic epoch tested and set aside in the course of this research, addressed directly below.</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6.4 What this paper does not claim</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Two tempting connections were tested in the course of developing this analysis and did not survive independent scrutiny, and are explicitly excluded here rather than left ambiguous. First, the Durup</w:t>
      </w:r>
      <w:r>
        <w:rPr>
          <w:rFonts w:ascii="Verdana" w:hAnsi="Verdana" w:hint="default"/>
          <w:rtl w:val="0"/>
        </w:rPr>
        <w:t>ı</w:t>
      </w:r>
      <w:r>
        <w:rPr>
          <w:rFonts w:ascii="Verdana" w:hAnsi="Verdana"/>
          <w:rtl w:val="0"/>
          <w:lang w:val="en-US"/>
        </w:rPr>
        <w:t>nar formation near Mount Ararat: regional dating claims (3,500 to 5,000 years before present, human activity 5,500 to 3,000 BCE) come from ongoing, non-peer-reviewed fieldwork, and the standing peer-reviewed geological assessment (Collins &amp; Fasold, 1996) identifies the formation as a natural doubly-plunging syncline, with fossiliferous limestone cutting across the structure indicating the formation predates any associated flood deposit rather than resulting from one. This paper takes no position that the formation is connected to the Mesopotamian flood tradition. Second, a proposed Ramayana chronology convergence: the corrected Treta Yuga window in a companion chronological reconstruction spans approximately 4,969 to 1,421 BCE, a range wide enough that any target date trivially falls inside it; the reconstruction's own tightly-matched anchor points (the Krita/Treta boundary at 4,969 BCE, converging with independent planetary-conjunction and land-bridge submergence dating) are nowhere near the Mesopotamian flood window, and no narrower point within that chronology independently targets 2,900 to 3,100 BCE. Neither connection is required for, or strengthens, the claim this paper actually makes: a real, locally bounded, geologically attested river-flood tradition, physically dated at Shuruppak to within the SKL sar-correction's own window, distorted into cosmological scale by the same mechanism already demonstrated for that document's reign-length data.</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b w:val="1"/>
          <w:bCs w:val="1"/>
          <w:rtl w:val="0"/>
          <w:lang w:val="en-US"/>
        </w:rPr>
        <w:t>7. Discussion</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The seven-domain test converges on a single conclusion from entirely independent evidentiary directions: hydrology, ice-core stratigraphy, dendrochronology, population genetics, biogeography, historical continuity, and naval engineering share no data, no dating method, and no disciplinary assumptions, and each independently contradicts the literal-global-vessel hypothesis. This is the structure of a strong falsification rather than a rhetorical accumulation of objections. What survives is narrower and more modest than the tradition it produced: a genuinely severe, genuinely remembered, genuinely local catastrophe on the Tigris-Euphrates floodplain, encoded by a culture whose narrative technology for marking significance was cosmological register rather than proportionate scale, the same mechanism this author has already demonstrated operating on the same document's king-list data. The distance between a fifteen-inch flood deposit at Shuruppak and a story that ends the entire world is not evidence against a real event. It is evidence of what oral and scribal amplification does to a real event, consistently, across the same tradition, in more than one place in the same text.</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b w:val="1"/>
          <w:bCs w:val="1"/>
        </w:rPr>
      </w:pPr>
      <w:r>
        <w:rPr>
          <w:rFonts w:ascii="Verdana" w:hAnsi="Verdana"/>
          <w:b w:val="1"/>
          <w:bCs w:val="1"/>
          <w:rtl w:val="0"/>
          <w:lang w:val="fr-FR"/>
        </w:rPr>
        <w:t>8. Limitations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This paper addresses the literal, planetary, single-vessel claim specifically. It does not address theological, allegorical, or metaphorical readings of the flood narrative, which are a different category of claim not amenable to falsification by physical evidence, and are outside its scope. The Mesopotamian flood-stratum evidence itself carries acknowledged dating imprecision, given excavation methods now nearly a century old (Ur, Kish: 1928-1931; Shuruppak: 1931); Mallowan (1964) and MacDonald (1988) both caution against over-confident identification of any single stratum with the literary tradition, a caution this paper adopts rather than resolves. The Durup</w:t>
      </w:r>
      <w:r>
        <w:rPr>
          <w:rFonts w:ascii="Verdana" w:hAnsi="Verdana" w:hint="default"/>
          <w:rtl w:val="0"/>
        </w:rPr>
        <w:t>ı</w:t>
      </w:r>
      <w:r>
        <w:rPr>
          <w:rFonts w:ascii="Verdana" w:hAnsi="Verdana"/>
          <w:rtl w:val="0"/>
          <w:lang w:val="en-US"/>
        </w:rPr>
        <w:t>nar and Ramayana connections addressed in Section 6.4 remain open questions in principle, pending future peer-reviewed dating work at Durup</w:t>
      </w:r>
      <w:r>
        <w:rPr>
          <w:rFonts w:ascii="Verdana" w:hAnsi="Verdana" w:hint="default"/>
          <w:rtl w:val="0"/>
        </w:rPr>
        <w:t>ı</w:t>
      </w:r>
      <w:r>
        <w:rPr>
          <w:rFonts w:ascii="Verdana" w:hAnsi="Verdana"/>
          <w:rtl w:val="0"/>
          <w:lang w:val="en-US"/>
        </w:rPr>
        <w:t>nar specifically; this paper's position is that neither is currently supported, not that neither can ever be.</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b w:val="1"/>
          <w:bCs w:val="1"/>
        </w:rPr>
      </w:pPr>
      <w:r>
        <w:rPr>
          <w:rFonts w:ascii="Verdana" w:hAnsi="Verdana"/>
          <w:b w:val="1"/>
          <w:bCs w:val="1"/>
          <w:rtl w:val="0"/>
          <w:lang w:val="it-IT"/>
        </w:rPr>
        <w:t>9. Conclusion</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A literal, global, single-vessel flood is not merely unlikely. It is falsified, independently, in seven unconnected evidentiary domains, using data and methods that do not depend on one another. What remains standing after that falsification is not nothing: a real, locally catastrophic, well-attested flood tradition on the Tigris-Euphrates, physically dated within the same document's own internally corrected chronology, distorted into cosmological scale by a mechanism this author has already shown operating on the same eight sentences of the same king list. The honest account of Noah's Ark is not that nothing happened. It is that something real, comparatively modest, and centuries-long happened, and was carried forward by a culture whose language for significance was the scale of the cosmos rather than the scale of a flooded floodplain.</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b w:val="1"/>
          <w:bCs w:val="1"/>
        </w:rPr>
      </w:pPr>
      <w:r>
        <w:rPr>
          <w:rFonts w:ascii="Verdana" w:hAnsi="Verdana"/>
          <w:b w:val="1"/>
          <w:bCs w:val="1"/>
          <w:rtl w:val="0"/>
          <w:lang w:val="en-US"/>
        </w:rPr>
        <w:t>Sustainable Development Goals (SDG) Relevance</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b w:val="1"/>
          <w:bCs w:val="1"/>
          <w:rtl w:val="0"/>
          <w:lang w:val="en-US"/>
        </w:rPr>
        <w:t xml:space="preserve">SDG 4 (Quality Education): </w:t>
      </w:r>
      <w:r>
        <w:rPr>
          <w:rFonts w:ascii="Verdana" w:hAnsi="Verdana"/>
          <w:rtl w:val="0"/>
          <w:lang w:val="en-US"/>
        </w:rPr>
        <w:t>This paper models a formal, falsifiable, multi-domain evidentiary methodology applicable to evaluating extraordinary historical claims generally, with direct relevance to critical-thinking and science-literacy curricula.</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b w:val="1"/>
          <w:bCs w:val="1"/>
          <w:rtl w:val="0"/>
          <w:lang w:val="fr-FR"/>
        </w:rPr>
        <w:t xml:space="preserve">SDG 13 (Climate Action): </w:t>
      </w:r>
      <w:r>
        <w:rPr>
          <w:rFonts w:ascii="Verdana" w:hAnsi="Verdana"/>
          <w:rtl w:val="0"/>
          <w:lang w:val="en-US"/>
        </w:rPr>
        <w:t>The regional flood-memory mechanism documented in Section 6, and treated fully in Vondoom (2026b), is directly relevant to understanding how contemporary and future coastal populations may encode and transmit memory of climate-driven flooding and displacement.</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b w:val="1"/>
          <w:bCs w:val="1"/>
          <w:rtl w:val="0"/>
          <w:lang w:val="en-US"/>
        </w:rPr>
        <w:t xml:space="preserve">SDG 16 (Peace, Justice and Strong Institutions): </w:t>
      </w:r>
      <w:r>
        <w:rPr>
          <w:rFonts w:ascii="Verdana" w:hAnsi="Verdana"/>
          <w:rtl w:val="0"/>
          <w:lang w:val="en-US"/>
        </w:rPr>
        <w:t>Distinguishing evidence-based historical reconstruction from literalist claims presented as scientific feasibility supports the epistemological standards underlying sound public institutions and education policy.</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b w:val="1"/>
          <w:bCs w:val="1"/>
          <w:rtl w:val="0"/>
          <w:lang w:val="en-US"/>
        </w:rPr>
        <w:t>Funding</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This research received no external funding.</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b w:val="1"/>
          <w:bCs w:val="1"/>
          <w:rtl w:val="0"/>
          <w:lang w:val="en-US"/>
        </w:rPr>
        <w:t>AI Disclosure</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r>
        <w:rPr>
          <w:rFonts w:ascii="Verdana" w:hAnsi="Verdana"/>
          <w:rtl w:val="0"/>
          <w:lang w:val="en-US"/>
        </w:rPr>
        <w:t>This paper was developed with the assistance of Claude (Anthropic) for literature search, structural development, and academic prose refinement. All theoretical positions, interpretive claims, and analytical conclusions are the sole intellectual work of the author. Citations were checked against publisher, institutional, and archival sources located through web search at time of writing; several sources (Ark Encounter construction details, Wyoming schooner specifications, Durup</w:t>
      </w:r>
      <w:r>
        <w:rPr>
          <w:rFonts w:ascii="Verdana" w:hAnsi="Verdana" w:hint="default"/>
          <w:rtl w:val="0"/>
        </w:rPr>
        <w:t>ı</w:t>
      </w:r>
      <w:r>
        <w:rPr>
          <w:rFonts w:ascii="Verdana" w:hAnsi="Verdana"/>
          <w:rtl w:val="0"/>
          <w:lang w:val="en-US"/>
        </w:rPr>
        <w:t>nar fieldwork reports) are trade press or organizational sources rather than peer-reviewed literature and are flagged as such in-text where cited. Published under Creative Commons Attribution 4.0 International (CC BY 4.0).</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b w:val="1"/>
          <w:bCs w:val="1"/>
        </w:rPr>
      </w:pPr>
      <w:r>
        <w:rPr>
          <w:rFonts w:ascii="Verdana" w:hAnsi="Verdana"/>
          <w:b w:val="1"/>
          <w:bCs w:val="1"/>
          <w:rtl w:val="0"/>
          <w:lang w:val="fr-FR"/>
        </w:rPr>
        <w:t>References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cs="Verdana" w:hAnsi="Verdana" w:eastAsia="Verdana"/>
        </w:rPr>
      </w:pPr>
    </w:p>
    <w:p>
      <w:pPr>
        <w:pStyle w:val="Body"/>
        <w:numPr>
          <w:ilvl w:val="0"/>
          <w:numId w:val="4"/>
        </w:numPr>
        <w:jc w:val="both"/>
        <w:rPr>
          <w:rFonts w:ascii="Verdana" w:hAnsi="Verdana"/>
          <w:lang w:val="en-US"/>
        </w:rPr>
      </w:pPr>
      <w:r>
        <w:rPr>
          <w:rFonts w:ascii="Verdana" w:hAnsi="Verdana"/>
          <w:rtl w:val="0"/>
          <w:lang w:val="en-US"/>
        </w:rPr>
        <w:t xml:space="preserve">Amos, W., &amp; Hoffman, J.I. (2010). Evidence that two main bottleneck events shaped modern human genetic diversity. </w:t>
      </w:r>
      <w:r>
        <w:rPr>
          <w:rFonts w:ascii="Verdana" w:hAnsi="Verdana"/>
          <w:i w:val="1"/>
          <w:iCs w:val="1"/>
          <w:rtl w:val="0"/>
          <w:lang w:val="en-US"/>
        </w:rPr>
        <w:t>Proceedings of the Royal Society B: Biological Sciences</w:t>
      </w:r>
      <w:r>
        <w:rPr>
          <w:rFonts w:ascii="Verdana" w:hAnsi="Verdana"/>
          <w:rtl w:val="0"/>
        </w:rPr>
        <w:t>, 277(1678), 131-137.</w:t>
      </w:r>
    </w:p>
    <w:p>
      <w:pPr>
        <w:pStyle w:val="Body"/>
        <w:numPr>
          <w:ilvl w:val="0"/>
          <w:numId w:val="4"/>
        </w:numPr>
        <w:jc w:val="both"/>
        <w:rPr>
          <w:rFonts w:ascii="Verdana" w:hAnsi="Verdana"/>
          <w:lang w:val="en-US"/>
        </w:rPr>
      </w:pPr>
      <w:r>
        <w:rPr>
          <w:rFonts w:ascii="Verdana" w:hAnsi="Verdana"/>
          <w:rtl w:val="0"/>
          <w:lang w:val="en-US"/>
        </w:rPr>
        <w:t xml:space="preserve">Architect Magazine. (2016). Innovative Detail: Ark Encounter Exterior Wall. </w:t>
      </w:r>
      <w:r>
        <w:rPr>
          <w:rFonts w:ascii="Verdana" w:hAnsi="Verdana"/>
          <w:i w:val="1"/>
          <w:iCs w:val="1"/>
          <w:rtl w:val="0"/>
          <w:lang w:val="it-IT"/>
        </w:rPr>
        <w:t>architectmagazine.com</w:t>
      </w:r>
      <w:r>
        <w:rPr>
          <w:rFonts w:ascii="Verdana" w:hAnsi="Verdana"/>
          <w:rtl w:val="0"/>
          <w:lang w:val="pt-PT"/>
        </w:rPr>
        <w:t>. [Trade press.]</w:t>
      </w:r>
    </w:p>
    <w:p>
      <w:pPr>
        <w:pStyle w:val="Body"/>
        <w:numPr>
          <w:ilvl w:val="0"/>
          <w:numId w:val="4"/>
        </w:numPr>
        <w:jc w:val="both"/>
        <w:rPr>
          <w:rFonts w:ascii="Verdana" w:hAnsi="Verdana"/>
          <w:lang w:val="en-US"/>
        </w:rPr>
      </w:pPr>
      <w:r>
        <w:rPr>
          <w:rFonts w:ascii="Verdana" w:hAnsi="Verdana"/>
          <w:rtl w:val="0"/>
          <w:lang w:val="en-US"/>
        </w:rPr>
        <w:t xml:space="preserve">Collins, L.G., &amp; Fasold, D.F. (1996). Bogus "Noah's Ark" from Turkey exposed as a common geologic structure. </w:t>
      </w:r>
      <w:r>
        <w:rPr>
          <w:rFonts w:ascii="Verdana" w:hAnsi="Verdana"/>
          <w:i w:val="1"/>
          <w:iCs w:val="1"/>
          <w:rtl w:val="0"/>
          <w:lang w:val="en-US"/>
        </w:rPr>
        <w:t>Journal of Geoscience Education</w:t>
      </w:r>
      <w:r>
        <w:rPr>
          <w:rFonts w:ascii="Verdana" w:hAnsi="Verdana"/>
          <w:rtl w:val="0"/>
        </w:rPr>
        <w:t>, 44(4), 439-444.</w:t>
      </w:r>
    </w:p>
    <w:p>
      <w:pPr>
        <w:pStyle w:val="Body"/>
        <w:numPr>
          <w:ilvl w:val="0"/>
          <w:numId w:val="4"/>
        </w:numPr>
        <w:jc w:val="both"/>
        <w:rPr>
          <w:rFonts w:ascii="Verdana" w:hAnsi="Verdana"/>
          <w:lang w:val="en-US"/>
        </w:rPr>
      </w:pPr>
      <w:r>
        <w:rPr>
          <w:rFonts w:ascii="Verdana" w:hAnsi="Verdana"/>
          <w:rtl w:val="0"/>
          <w:lang w:val="en-US"/>
        </w:rPr>
        <w:t xml:space="preserve">Ferguson, C.W. (1969). A 7104-year annual tree-ring chronology for bristlecone pine, </w:t>
      </w:r>
      <w:r>
        <w:rPr>
          <w:rFonts w:ascii="Verdana" w:hAnsi="Verdana"/>
          <w:i w:val="1"/>
          <w:iCs w:val="1"/>
          <w:rtl w:val="0"/>
          <w:lang w:val="it-IT"/>
        </w:rPr>
        <w:t>Pinus aristata</w:t>
      </w:r>
      <w:r>
        <w:rPr>
          <w:rFonts w:ascii="Verdana" w:hAnsi="Verdana"/>
          <w:rtl w:val="0"/>
          <w:lang w:val="en-US"/>
        </w:rPr>
        <w:t xml:space="preserve">, from the White Mountains, California. </w:t>
      </w:r>
      <w:r>
        <w:rPr>
          <w:rFonts w:ascii="Verdana" w:hAnsi="Verdana"/>
          <w:i w:val="1"/>
          <w:iCs w:val="1"/>
          <w:rtl w:val="0"/>
          <w:lang w:val="en-US"/>
        </w:rPr>
        <w:t>Tree-Ring Bulletin</w:t>
      </w:r>
      <w:r>
        <w:rPr>
          <w:rFonts w:ascii="Verdana" w:hAnsi="Verdana"/>
          <w:rtl w:val="0"/>
        </w:rPr>
        <w:t>, 29, 3-29.</w:t>
      </w:r>
    </w:p>
    <w:p>
      <w:pPr>
        <w:pStyle w:val="Body"/>
        <w:numPr>
          <w:ilvl w:val="0"/>
          <w:numId w:val="4"/>
        </w:numPr>
        <w:jc w:val="both"/>
        <w:rPr>
          <w:rFonts w:ascii="Verdana" w:hAnsi="Verdana"/>
        </w:rPr>
      </w:pPr>
      <w:r>
        <w:rPr>
          <w:rFonts w:ascii="Verdana" w:hAnsi="Verdana"/>
          <w:rtl w:val="0"/>
        </w:rPr>
        <w:t xml:space="preserve">George, A.R. (2003). </w:t>
      </w:r>
      <w:r>
        <w:rPr>
          <w:rFonts w:ascii="Verdana" w:hAnsi="Verdana"/>
          <w:i w:val="1"/>
          <w:iCs w:val="1"/>
          <w:rtl w:val="0"/>
          <w:lang w:val="en-US"/>
        </w:rPr>
        <w:t>The Babylonian Gilgamesh Epic: Introduction, Critical Edition and Cuneiform Texts.</w:t>
      </w:r>
      <w:r>
        <w:rPr>
          <w:rFonts w:ascii="Verdana" w:hAnsi="Verdana"/>
          <w:rtl w:val="0"/>
          <w:lang w:val="en-US"/>
        </w:rPr>
        <w:t xml:space="preserve"> Oxford University Press.</w:t>
      </w:r>
    </w:p>
    <w:p>
      <w:pPr>
        <w:pStyle w:val="Body"/>
        <w:numPr>
          <w:ilvl w:val="0"/>
          <w:numId w:val="4"/>
        </w:numPr>
        <w:jc w:val="both"/>
        <w:rPr>
          <w:rFonts w:ascii="Verdana" w:hAnsi="Verdana"/>
          <w:lang w:val="en-US"/>
        </w:rPr>
      </w:pPr>
      <w:r>
        <w:rPr>
          <w:rFonts w:ascii="Verdana" w:hAnsi="Verdana"/>
          <w:rtl w:val="0"/>
          <w:lang w:val="en-US"/>
        </w:rPr>
        <w:t xml:space="preserve">Guinness World Records. (n.d.). Largest wooden sailing ship ever. </w:t>
      </w:r>
      <w:r>
        <w:rPr>
          <w:rFonts w:ascii="Verdana" w:hAnsi="Verdana"/>
          <w:i w:val="1"/>
          <w:iCs w:val="1"/>
          <w:rtl w:val="0"/>
          <w:lang w:val="en-US"/>
        </w:rPr>
        <w:t>guinnessworldrecords.com</w:t>
      </w:r>
      <w:r>
        <w:rPr>
          <w:rFonts w:ascii="Verdana" w:hAnsi="Verdana"/>
          <w:rtl w:val="0"/>
          <w:lang w:val="en-US"/>
        </w:rPr>
        <w:t>. [Trade/reference source.]</w:t>
      </w:r>
    </w:p>
    <w:p>
      <w:pPr>
        <w:pStyle w:val="Body"/>
        <w:numPr>
          <w:ilvl w:val="0"/>
          <w:numId w:val="4"/>
        </w:numPr>
        <w:jc w:val="both"/>
        <w:rPr>
          <w:rFonts w:ascii="Verdana" w:hAnsi="Verdana"/>
          <w:lang w:val="en-US"/>
        </w:rPr>
      </w:pPr>
      <w:r>
        <w:rPr>
          <w:rFonts w:ascii="Verdana" w:hAnsi="Verdana"/>
          <w:rtl w:val="0"/>
          <w:lang w:val="en-US"/>
        </w:rPr>
        <w:t xml:space="preserve">Henderson, B., Hogan, A., Jinnah, N., &amp; Terry, J. (2018). A4_3 The Great Flood. </w:t>
      </w:r>
      <w:r>
        <w:rPr>
          <w:rFonts w:ascii="Verdana" w:hAnsi="Verdana"/>
          <w:i w:val="1"/>
          <w:iCs w:val="1"/>
          <w:rtl w:val="0"/>
          <w:lang w:val="en-US"/>
        </w:rPr>
        <w:t>Physics Special Topics</w:t>
      </w:r>
      <w:r>
        <w:rPr>
          <w:rFonts w:ascii="Verdana" w:hAnsi="Verdana"/>
          <w:rtl w:val="0"/>
          <w:lang w:val="en-US"/>
        </w:rPr>
        <w:t>, 17(1). [Undergraduate physics journal.]</w:t>
      </w:r>
    </w:p>
    <w:p>
      <w:pPr>
        <w:pStyle w:val="Body"/>
        <w:numPr>
          <w:ilvl w:val="0"/>
          <w:numId w:val="4"/>
        </w:numPr>
        <w:jc w:val="both"/>
        <w:rPr>
          <w:rFonts w:ascii="Verdana" w:hAnsi="Verdana"/>
          <w:lang w:val="en-US"/>
        </w:rPr>
      </w:pPr>
      <w:r>
        <w:rPr>
          <w:rFonts w:ascii="Verdana" w:hAnsi="Verdana"/>
          <w:rtl w:val="0"/>
          <w:lang w:val="en-US"/>
        </w:rPr>
        <w:t xml:space="preserve">Isaak, M. (1998). Problems with a global flood (2nd ed.). </w:t>
      </w:r>
      <w:r>
        <w:rPr>
          <w:rFonts w:ascii="Verdana" w:hAnsi="Verdana"/>
          <w:i w:val="1"/>
          <w:iCs w:val="1"/>
          <w:rtl w:val="0"/>
          <w:lang w:val="de-DE"/>
        </w:rPr>
        <w:t>TalkOrigins Archive</w:t>
      </w:r>
      <w:r>
        <w:rPr>
          <w:rFonts w:ascii="Verdana" w:hAnsi="Verdana"/>
          <w:rtl w:val="0"/>
        </w:rPr>
        <w:t>.</w:t>
      </w:r>
    </w:p>
    <w:p>
      <w:pPr>
        <w:pStyle w:val="Body"/>
        <w:numPr>
          <w:ilvl w:val="0"/>
          <w:numId w:val="4"/>
        </w:numPr>
        <w:jc w:val="both"/>
        <w:rPr>
          <w:rFonts w:ascii="Verdana" w:hAnsi="Verdana"/>
        </w:rPr>
      </w:pPr>
      <w:r>
        <w:rPr>
          <w:rFonts w:ascii="Verdana" w:hAnsi="Verdana"/>
          <w:rtl w:val="0"/>
        </w:rPr>
        <w:t xml:space="preserve">Jacobsen, T. (1939). </w:t>
      </w:r>
      <w:r>
        <w:rPr>
          <w:rFonts w:ascii="Verdana" w:hAnsi="Verdana"/>
          <w:i w:val="1"/>
          <w:iCs w:val="1"/>
          <w:rtl w:val="0"/>
          <w:lang w:val="en-US"/>
        </w:rPr>
        <w:t>The Sumerian King List.</w:t>
      </w:r>
      <w:r>
        <w:rPr>
          <w:rFonts w:ascii="Verdana" w:hAnsi="Verdana"/>
          <w:rtl w:val="0"/>
          <w:lang w:val="en-US"/>
        </w:rPr>
        <w:t xml:space="preserve"> Assyriological Studies 11. Oriental Institute, University of Chicago.</w:t>
      </w:r>
    </w:p>
    <w:p>
      <w:pPr>
        <w:pStyle w:val="Body"/>
        <w:numPr>
          <w:ilvl w:val="0"/>
          <w:numId w:val="4"/>
        </w:numPr>
        <w:jc w:val="both"/>
        <w:rPr>
          <w:rFonts w:ascii="Verdana" w:hAnsi="Verdana"/>
        </w:rPr>
      </w:pPr>
      <w:r>
        <w:rPr>
          <w:rFonts w:ascii="Verdana" w:hAnsi="Verdana"/>
          <w:rtl w:val="0"/>
        </w:rPr>
        <w:t xml:space="preserve">Kenoyer, J.M. (1998). </w:t>
      </w:r>
      <w:r>
        <w:rPr>
          <w:rFonts w:ascii="Verdana" w:hAnsi="Verdana"/>
          <w:i w:val="1"/>
          <w:iCs w:val="1"/>
          <w:rtl w:val="0"/>
          <w:lang w:val="en-US"/>
        </w:rPr>
        <w:t>Ancient Cities of the Indus Valley Civilization.</w:t>
      </w:r>
      <w:r>
        <w:rPr>
          <w:rFonts w:ascii="Verdana" w:hAnsi="Verdana"/>
          <w:rtl w:val="0"/>
          <w:lang w:val="en-US"/>
        </w:rPr>
        <w:t xml:space="preserve"> Oxford University Press.</w:t>
      </w:r>
    </w:p>
    <w:p>
      <w:pPr>
        <w:pStyle w:val="Body"/>
        <w:numPr>
          <w:ilvl w:val="0"/>
          <w:numId w:val="4"/>
        </w:numPr>
        <w:jc w:val="both"/>
        <w:rPr>
          <w:rFonts w:ascii="Verdana" w:hAnsi="Verdana"/>
          <w:lang w:val="nl-NL"/>
        </w:rPr>
      </w:pPr>
      <w:r>
        <w:rPr>
          <w:rFonts w:ascii="Verdana" w:hAnsi="Verdana"/>
          <w:rtl w:val="0"/>
          <w:lang w:val="nl-NL"/>
        </w:rPr>
        <w:t xml:space="preserve">Lambert, W.G., &amp; Millard, A.R. (1969). </w:t>
      </w:r>
      <w:r>
        <w:rPr>
          <w:rFonts w:ascii="Verdana" w:hAnsi="Verdana"/>
          <w:i w:val="1"/>
          <w:iCs w:val="1"/>
          <w:rtl w:val="0"/>
          <w:lang w:val="en-US"/>
        </w:rPr>
        <w:t>Atrahasis: The Babylonian Story of the Flood.</w:t>
      </w:r>
      <w:r>
        <w:rPr>
          <w:rFonts w:ascii="Verdana" w:hAnsi="Verdana"/>
          <w:rtl w:val="0"/>
          <w:lang w:val="en-US"/>
        </w:rPr>
        <w:t xml:space="preserve"> Oxford University Press.</w:t>
      </w:r>
    </w:p>
    <w:p>
      <w:pPr>
        <w:pStyle w:val="Body"/>
        <w:numPr>
          <w:ilvl w:val="0"/>
          <w:numId w:val="4"/>
        </w:numPr>
        <w:jc w:val="both"/>
        <w:rPr>
          <w:rFonts w:ascii="Verdana" w:hAnsi="Verdana"/>
        </w:rPr>
      </w:pPr>
      <w:r>
        <w:rPr>
          <w:rFonts w:ascii="Verdana" w:hAnsi="Verdana"/>
          <w:rtl w:val="0"/>
        </w:rPr>
        <w:t>L</w:t>
      </w:r>
      <w:r>
        <w:rPr>
          <w:rFonts w:ascii="Verdana" w:hAnsi="Verdana" w:hint="default"/>
          <w:rtl w:val="0"/>
          <w:lang w:val="es-ES_tradnl"/>
        </w:rPr>
        <w:t>ó</w:t>
      </w:r>
      <w:r>
        <w:rPr>
          <w:rFonts w:ascii="Verdana" w:hAnsi="Verdana"/>
          <w:rtl w:val="0"/>
          <w:lang w:val="en-US"/>
        </w:rPr>
        <w:t xml:space="preserve">pez, R.E. (1998). The antediluvian patriarchs and the Sumerian King List. </w:t>
      </w:r>
      <w:r>
        <w:rPr>
          <w:rFonts w:ascii="Verdana" w:hAnsi="Verdana"/>
          <w:i w:val="1"/>
          <w:iCs w:val="1"/>
          <w:rtl w:val="0"/>
          <w:lang w:val="en-US"/>
        </w:rPr>
        <w:t>Journal of Creation</w:t>
      </w:r>
      <w:r>
        <w:rPr>
          <w:rFonts w:ascii="Verdana" w:hAnsi="Verdana"/>
          <w:rtl w:val="0"/>
        </w:rPr>
        <w:t>, 12(3), 347-357.</w:t>
      </w:r>
    </w:p>
    <w:p>
      <w:pPr>
        <w:pStyle w:val="Body"/>
        <w:numPr>
          <w:ilvl w:val="0"/>
          <w:numId w:val="4"/>
        </w:numPr>
        <w:jc w:val="both"/>
        <w:rPr>
          <w:rFonts w:ascii="Verdana" w:hAnsi="Verdana"/>
          <w:lang w:val="it-IT"/>
        </w:rPr>
      </w:pPr>
      <w:r>
        <w:rPr>
          <w:rFonts w:ascii="Verdana" w:hAnsi="Verdana"/>
          <w:rtl w:val="0"/>
          <w:lang w:val="it-IT"/>
        </w:rPr>
        <w:t xml:space="preserve">MacArthur, R.H., &amp; Wilson, E.O. (1967). </w:t>
      </w:r>
      <w:r>
        <w:rPr>
          <w:rFonts w:ascii="Verdana" w:hAnsi="Verdana"/>
          <w:i w:val="1"/>
          <w:iCs w:val="1"/>
          <w:rtl w:val="0"/>
          <w:lang w:val="en-US"/>
        </w:rPr>
        <w:t>The Theory of Island Biogeography.</w:t>
      </w:r>
      <w:r>
        <w:rPr>
          <w:rFonts w:ascii="Verdana" w:hAnsi="Verdana"/>
          <w:rtl w:val="0"/>
          <w:lang w:val="en-US"/>
        </w:rPr>
        <w:t xml:space="preserve"> Princeton University Press.</w:t>
      </w:r>
    </w:p>
    <w:p>
      <w:pPr>
        <w:pStyle w:val="Body"/>
        <w:numPr>
          <w:ilvl w:val="0"/>
          <w:numId w:val="4"/>
        </w:numPr>
        <w:jc w:val="both"/>
        <w:rPr>
          <w:rFonts w:ascii="Verdana" w:hAnsi="Verdana"/>
          <w:lang w:val="en-US"/>
        </w:rPr>
      </w:pPr>
      <w:r>
        <w:rPr>
          <w:rFonts w:ascii="Verdana" w:hAnsi="Verdana"/>
          <w:rtl w:val="0"/>
          <w:lang w:val="en-US"/>
        </w:rPr>
        <w:t xml:space="preserve">MacDonald, D. (1988). The Flood: Mesopotamian archaeological evidence. </w:t>
      </w:r>
      <w:r>
        <w:rPr>
          <w:rFonts w:ascii="Verdana" w:hAnsi="Verdana"/>
          <w:i w:val="1"/>
          <w:iCs w:val="1"/>
          <w:rtl w:val="0"/>
          <w:lang w:val="en-US"/>
        </w:rPr>
        <w:t>Creation/Evolution</w:t>
      </w:r>
      <w:r>
        <w:rPr>
          <w:rFonts w:ascii="Verdana" w:hAnsi="Verdana"/>
          <w:rtl w:val="0"/>
        </w:rPr>
        <w:t>, 8(2), 15-20.</w:t>
      </w:r>
    </w:p>
    <w:p>
      <w:pPr>
        <w:pStyle w:val="Body"/>
        <w:numPr>
          <w:ilvl w:val="0"/>
          <w:numId w:val="4"/>
        </w:numPr>
        <w:jc w:val="both"/>
        <w:rPr>
          <w:rFonts w:ascii="Verdana" w:hAnsi="Verdana"/>
          <w:lang w:val="en-US"/>
        </w:rPr>
      </w:pPr>
      <w:r>
        <w:rPr>
          <w:rFonts w:ascii="Verdana" w:hAnsi="Verdana"/>
          <w:rtl w:val="0"/>
          <w:lang w:val="en-US"/>
        </w:rPr>
        <w:t xml:space="preserve">Mallowan, M.E.L. (1964). Noah's Flood reconsidered. </w:t>
      </w:r>
      <w:r>
        <w:rPr>
          <w:rFonts w:ascii="Verdana" w:hAnsi="Verdana"/>
          <w:i w:val="1"/>
          <w:iCs w:val="1"/>
          <w:rtl w:val="0"/>
          <w:lang w:val="pt-PT"/>
        </w:rPr>
        <w:t>Iraq</w:t>
      </w:r>
      <w:r>
        <w:rPr>
          <w:rFonts w:ascii="Verdana" w:hAnsi="Verdana"/>
          <w:rtl w:val="0"/>
        </w:rPr>
        <w:t>, 26(2), 62-82.</w:t>
      </w:r>
    </w:p>
    <w:p>
      <w:pPr>
        <w:pStyle w:val="Body"/>
        <w:numPr>
          <w:ilvl w:val="0"/>
          <w:numId w:val="4"/>
        </w:numPr>
        <w:jc w:val="both"/>
        <w:rPr>
          <w:rFonts w:ascii="Verdana" w:hAnsi="Verdana"/>
          <w:lang w:val="en-US"/>
        </w:rPr>
      </w:pPr>
      <w:r>
        <w:rPr>
          <w:rFonts w:ascii="Verdana" w:hAnsi="Verdana"/>
          <w:rtl w:val="0"/>
          <w:lang w:val="en-US"/>
        </w:rPr>
        <w:t xml:space="preserve">Nunn, P.D., &amp; Reid, N.J. (2015). Aboriginal memories of inundation of the Australian coast dating from more than 7000 years ago. </w:t>
      </w:r>
      <w:r>
        <w:rPr>
          <w:rFonts w:ascii="Verdana" w:hAnsi="Verdana"/>
          <w:i w:val="1"/>
          <w:iCs w:val="1"/>
          <w:rtl w:val="0"/>
          <w:lang w:val="de-DE"/>
        </w:rPr>
        <w:t>Australian Geographer</w:t>
      </w:r>
      <w:r>
        <w:rPr>
          <w:rFonts w:ascii="Verdana" w:hAnsi="Verdana"/>
          <w:rtl w:val="0"/>
        </w:rPr>
        <w:t>, 47(1), 11-47.</w:t>
      </w:r>
    </w:p>
    <w:p>
      <w:pPr>
        <w:pStyle w:val="Body"/>
        <w:numPr>
          <w:ilvl w:val="0"/>
          <w:numId w:val="4"/>
        </w:numPr>
        <w:jc w:val="both"/>
        <w:rPr>
          <w:rFonts w:ascii="Verdana" w:hAnsi="Verdana"/>
        </w:rPr>
      </w:pPr>
      <w:r>
        <w:rPr>
          <w:rFonts w:ascii="Verdana" w:hAnsi="Verdana"/>
          <w:rtl w:val="0"/>
        </w:rPr>
        <w:t xml:space="preserve">Rao, S.R. (1999). </w:t>
      </w:r>
      <w:r>
        <w:rPr>
          <w:rFonts w:ascii="Verdana" w:hAnsi="Verdana"/>
          <w:i w:val="1"/>
          <w:iCs w:val="1"/>
          <w:rtl w:val="0"/>
          <w:lang w:val="en-US"/>
        </w:rPr>
        <w:t>The Lost City of Dwaraka.</w:t>
      </w:r>
      <w:r>
        <w:rPr>
          <w:rFonts w:ascii="Verdana" w:hAnsi="Verdana"/>
          <w:rtl w:val="0"/>
        </w:rPr>
        <w:t xml:space="preserve"> Aditya Prakashan.</w:t>
      </w:r>
    </w:p>
    <w:p>
      <w:pPr>
        <w:pStyle w:val="Body"/>
        <w:numPr>
          <w:ilvl w:val="0"/>
          <w:numId w:val="4"/>
        </w:numPr>
        <w:jc w:val="both"/>
        <w:rPr>
          <w:rFonts w:ascii="Verdana" w:hAnsi="Verdana"/>
          <w:lang w:val="en-US"/>
        </w:rPr>
      </w:pPr>
      <w:r>
        <w:rPr>
          <w:rFonts w:ascii="Verdana" w:hAnsi="Verdana"/>
          <w:rtl w:val="0"/>
          <w:lang w:val="en-US"/>
        </w:rPr>
        <w:t xml:space="preserve">Reasons to Believe. (n.d.). Is a global flood scientifically possible? </w:t>
      </w:r>
      <w:r>
        <w:rPr>
          <w:rFonts w:ascii="Verdana" w:hAnsi="Verdana"/>
          <w:i w:val="1"/>
          <w:iCs w:val="1"/>
          <w:rtl w:val="0"/>
          <w:lang w:val="en-US"/>
        </w:rPr>
        <w:t>reasons.org</w:t>
      </w:r>
      <w:r>
        <w:rPr>
          <w:rFonts w:ascii="Verdana" w:hAnsi="Verdana"/>
          <w:rtl w:val="0"/>
        </w:rPr>
        <w:t>.</w:t>
      </w:r>
    </w:p>
    <w:p>
      <w:pPr>
        <w:pStyle w:val="Body"/>
        <w:numPr>
          <w:ilvl w:val="0"/>
          <w:numId w:val="4"/>
        </w:numPr>
        <w:jc w:val="both"/>
        <w:rPr>
          <w:rFonts w:ascii="Verdana" w:hAnsi="Verdana"/>
        </w:rPr>
      </w:pPr>
      <w:r>
        <w:rPr>
          <w:rFonts w:ascii="Verdana" w:hAnsi="Verdana"/>
          <w:rtl w:val="0"/>
        </w:rPr>
        <w:t xml:space="preserve">Shaw, I. (Ed.). (2000). </w:t>
      </w:r>
      <w:r>
        <w:rPr>
          <w:rFonts w:ascii="Verdana" w:hAnsi="Verdana"/>
          <w:i w:val="1"/>
          <w:iCs w:val="1"/>
          <w:rtl w:val="0"/>
          <w:lang w:val="en-US"/>
        </w:rPr>
        <w:t>The Oxford History of Ancient Egypt.</w:t>
      </w:r>
      <w:r>
        <w:rPr>
          <w:rFonts w:ascii="Verdana" w:hAnsi="Verdana"/>
          <w:rtl w:val="0"/>
          <w:lang w:val="en-US"/>
        </w:rPr>
        <w:t xml:space="preserve"> Oxford University Press.</w:t>
      </w:r>
    </w:p>
    <w:p>
      <w:pPr>
        <w:pStyle w:val="Body"/>
        <w:numPr>
          <w:ilvl w:val="0"/>
          <w:numId w:val="4"/>
        </w:numPr>
        <w:jc w:val="both"/>
        <w:rPr>
          <w:rFonts w:ascii="Verdana" w:hAnsi="Verdana"/>
          <w:lang w:val="it-IT"/>
        </w:rPr>
      </w:pPr>
      <w:r>
        <w:rPr>
          <w:rFonts w:ascii="Verdana" w:hAnsi="Verdana"/>
          <w:rtl w:val="0"/>
          <w:lang w:val="it-IT"/>
        </w:rPr>
        <w:t xml:space="preserve">Singer, C., Holmyard, E.J., Hall, A.R., &amp; Williams, T.I. (Eds.). (1958). </w:t>
      </w:r>
      <w:r>
        <w:rPr>
          <w:rFonts w:ascii="Verdana" w:hAnsi="Verdana"/>
          <w:i w:val="1"/>
          <w:iCs w:val="1"/>
          <w:rtl w:val="0"/>
          <w:lang w:val="en-US"/>
        </w:rPr>
        <w:t>A History of Technology, Vol. 5: The Late Nineteenth Century, c.1850 to c.1900.</w:t>
      </w:r>
      <w:r>
        <w:rPr>
          <w:rFonts w:ascii="Verdana" w:hAnsi="Verdana"/>
          <w:rtl w:val="0"/>
          <w:lang w:val="en-US"/>
        </w:rPr>
        <w:t xml:space="preserve"> Oxford University Press, p. 355.</w:t>
      </w:r>
    </w:p>
    <w:p>
      <w:pPr>
        <w:pStyle w:val="Body"/>
        <w:numPr>
          <w:ilvl w:val="0"/>
          <w:numId w:val="4"/>
        </w:numPr>
        <w:jc w:val="both"/>
        <w:rPr>
          <w:rFonts w:ascii="Verdana" w:hAnsi="Verdana"/>
          <w:lang w:val="en-US"/>
        </w:rPr>
      </w:pPr>
      <w:r>
        <w:rPr>
          <w:rFonts w:ascii="Verdana" w:hAnsi="Verdana"/>
          <w:rtl w:val="0"/>
          <w:lang w:val="en-US"/>
        </w:rPr>
        <w:t xml:space="preserve">Sinnl, G., Winstrup, M., Erhardt, T., Cook, E., Jensen, C., Svensson, A., Vinther, B.M., Muscheler, R., &amp; Rasmussen, S.O. (2022). A multi-ice-core, annual-layer-counted Greenland ice-core chronology for the last 3800 years: GICC21. </w:t>
      </w:r>
      <w:r>
        <w:rPr>
          <w:rFonts w:ascii="Verdana" w:hAnsi="Verdana"/>
          <w:i w:val="1"/>
          <w:iCs w:val="1"/>
          <w:rtl w:val="0"/>
          <w:lang w:val="en-US"/>
        </w:rPr>
        <w:t>Climate of the Past</w:t>
      </w:r>
      <w:r>
        <w:rPr>
          <w:rFonts w:ascii="Verdana" w:hAnsi="Verdana"/>
          <w:rtl w:val="0"/>
        </w:rPr>
        <w:t>, 18(5), 1125-1150.</w:t>
      </w:r>
    </w:p>
    <w:p>
      <w:pPr>
        <w:pStyle w:val="Body"/>
        <w:numPr>
          <w:ilvl w:val="0"/>
          <w:numId w:val="4"/>
        </w:numPr>
        <w:jc w:val="both"/>
        <w:rPr>
          <w:rFonts w:ascii="Verdana" w:hAnsi="Verdana"/>
          <w:lang w:val="en-US"/>
        </w:rPr>
      </w:pPr>
      <w:r>
        <w:rPr>
          <w:rFonts w:ascii="Verdana" w:hAnsi="Verdana"/>
          <w:rtl w:val="0"/>
          <w:lang w:val="en-US"/>
        </w:rPr>
        <w:t xml:space="preserve">Sitchin, Z. (1976). </w:t>
      </w:r>
      <w:r>
        <w:rPr>
          <w:rFonts w:ascii="Verdana" w:hAnsi="Verdana"/>
          <w:i w:val="1"/>
          <w:iCs w:val="1"/>
          <w:rtl w:val="0"/>
          <w:lang w:val="en-US"/>
        </w:rPr>
        <w:t>The 12th Planet.</w:t>
      </w:r>
      <w:r>
        <w:rPr>
          <w:rFonts w:ascii="Verdana" w:hAnsi="Verdana"/>
          <w:rtl w:val="0"/>
          <w:lang w:val="en-US"/>
        </w:rPr>
        <w:t xml:space="preserve"> Stein and Day. [Fringe literature, cited to dismiss.]</w:t>
      </w:r>
    </w:p>
    <w:p>
      <w:pPr>
        <w:pStyle w:val="Body"/>
        <w:numPr>
          <w:ilvl w:val="0"/>
          <w:numId w:val="4"/>
        </w:numPr>
        <w:jc w:val="both"/>
        <w:rPr>
          <w:rFonts w:ascii="Verdana" w:hAnsi="Verdana"/>
          <w:lang w:val="da-DK"/>
        </w:rPr>
      </w:pPr>
      <w:r>
        <w:rPr>
          <w:rFonts w:ascii="Verdana" w:hAnsi="Verdana"/>
          <w:rtl w:val="0"/>
          <w:lang w:val="da-DK"/>
        </w:rPr>
        <w:t>Svensson, A., Andersen, K.K., Bigler, M., Clausen, H.B., Dahl-Jensen, D., Davies, S.M., Johnsen, S.J., Muscheler, R., Parrenin, F., Rasmussen, S.O., R</w:t>
      </w:r>
      <w:r>
        <w:rPr>
          <w:rFonts w:ascii="Verdana" w:hAnsi="Verdana" w:hint="default"/>
          <w:rtl w:val="0"/>
          <w:lang w:val="sv-SE"/>
        </w:rPr>
        <w:t>ö</w:t>
      </w:r>
      <w:r>
        <w:rPr>
          <w:rFonts w:ascii="Verdana" w:hAnsi="Verdana"/>
          <w:rtl w:val="0"/>
          <w:lang w:val="en-US"/>
        </w:rPr>
        <w:t xml:space="preserve">thlisberger, R., Seierstad, I., Steffensen, J.P., &amp; Vinther, B.M. (2008). A 60,000 year Greenland stratigraphic ice core chronology. </w:t>
      </w:r>
      <w:r>
        <w:rPr>
          <w:rFonts w:ascii="Verdana" w:hAnsi="Verdana"/>
          <w:i w:val="1"/>
          <w:iCs w:val="1"/>
          <w:rtl w:val="0"/>
          <w:lang w:val="en-US"/>
        </w:rPr>
        <w:t>Climate of the Past</w:t>
      </w:r>
      <w:r>
        <w:rPr>
          <w:rFonts w:ascii="Verdana" w:hAnsi="Verdana"/>
          <w:rtl w:val="0"/>
        </w:rPr>
        <w:t>, 4, 47-57.</w:t>
      </w:r>
    </w:p>
    <w:p>
      <w:pPr>
        <w:pStyle w:val="Body"/>
        <w:numPr>
          <w:ilvl w:val="0"/>
          <w:numId w:val="4"/>
        </w:numPr>
        <w:jc w:val="both"/>
        <w:rPr>
          <w:rFonts w:ascii="Verdana" w:hAnsi="Verdana"/>
          <w:lang w:val="en-US"/>
        </w:rPr>
      </w:pPr>
      <w:r>
        <w:rPr>
          <w:rFonts w:ascii="Verdana" w:hAnsi="Verdana"/>
          <w:rtl w:val="0"/>
          <w:lang w:val="en-US"/>
        </w:rPr>
        <w:t xml:space="preserve">Tournebize, R., Chu, G., &amp; Moorjani, P. (2022). Reconstructing the history of founder events using genome-wide patterns of allele sharing across individuals. </w:t>
      </w:r>
      <w:r>
        <w:rPr>
          <w:rFonts w:ascii="Verdana" w:hAnsi="Verdana"/>
          <w:i w:val="1"/>
          <w:iCs w:val="1"/>
          <w:rtl w:val="0"/>
          <w:lang w:val="en-US"/>
        </w:rPr>
        <w:t>PLOS Genetics</w:t>
      </w:r>
      <w:r>
        <w:rPr>
          <w:rFonts w:ascii="Verdana" w:hAnsi="Verdana"/>
          <w:rtl w:val="0"/>
        </w:rPr>
        <w:t>, 18(6), e1010243.</w:t>
      </w:r>
    </w:p>
    <w:p>
      <w:pPr>
        <w:pStyle w:val="Body"/>
        <w:numPr>
          <w:ilvl w:val="0"/>
          <w:numId w:val="4"/>
        </w:numPr>
        <w:jc w:val="both"/>
        <w:rPr>
          <w:rFonts w:ascii="Verdana" w:hAnsi="Verdana"/>
          <w:lang w:val="en-US"/>
        </w:rPr>
      </w:pPr>
      <w:r>
        <w:rPr>
          <w:rFonts w:ascii="Verdana" w:hAnsi="Verdana"/>
          <w:rtl w:val="0"/>
          <w:lang w:val="en-US"/>
        </w:rPr>
        <w:t xml:space="preserve">Vondoom, A. (2025). The Deep Symbolic Systems Model (DSSM): A cognitive-ritual framework for early monumentality and cultural continuity. </w:t>
      </w:r>
      <w:r>
        <w:rPr>
          <w:rFonts w:ascii="Verdana" w:hAnsi="Verdana"/>
          <w:i w:val="1"/>
          <w:iCs w:val="1"/>
          <w:rtl w:val="0"/>
        </w:rPr>
        <w:t>SSRN</w:t>
      </w:r>
      <w:r>
        <w:rPr>
          <w:rFonts w:ascii="Verdana" w:hAnsi="Verdana"/>
          <w:rtl w:val="0"/>
        </w:rPr>
        <w:t>. DOI: 10.2139/ssrn.6003734.</w:t>
      </w:r>
    </w:p>
    <w:p>
      <w:pPr>
        <w:pStyle w:val="Body"/>
        <w:numPr>
          <w:ilvl w:val="0"/>
          <w:numId w:val="4"/>
        </w:numPr>
        <w:jc w:val="both"/>
        <w:rPr>
          <w:rFonts w:ascii="Verdana" w:hAnsi="Verdana"/>
          <w:lang w:val="en-US"/>
        </w:rPr>
      </w:pPr>
      <w:r>
        <w:rPr>
          <w:rFonts w:ascii="Verdana" w:hAnsi="Verdana"/>
          <w:rtl w:val="0"/>
          <w:lang w:val="en-US"/>
        </w:rPr>
        <w:t xml:space="preserve">Vondoom, A. (2026a). Decoding the Sumerian Kings List: Scribal transmission, sexagesimal inflation, and the recovery of historical reign lengths. </w:t>
      </w:r>
      <w:r>
        <w:rPr>
          <w:rFonts w:ascii="Verdana" w:hAnsi="Verdana"/>
          <w:i w:val="1"/>
          <w:iCs w:val="1"/>
          <w:rtl w:val="0"/>
        </w:rPr>
        <w:t>Zenodo</w:t>
      </w:r>
      <w:r>
        <w:rPr>
          <w:rFonts w:ascii="Verdana" w:hAnsi="Verdana"/>
          <w:rtl w:val="0"/>
          <w:lang w:val="pt-PT"/>
        </w:rPr>
        <w:t>. DOI: 10.5281/zenodo.22875770.</w:t>
      </w:r>
    </w:p>
    <w:p>
      <w:pPr>
        <w:pStyle w:val="Body"/>
        <w:numPr>
          <w:ilvl w:val="0"/>
          <w:numId w:val="4"/>
        </w:numPr>
        <w:jc w:val="both"/>
        <w:rPr>
          <w:rFonts w:ascii="Verdana" w:hAnsi="Verdana"/>
          <w:lang w:val="en-US"/>
        </w:rPr>
      </w:pPr>
      <w:r>
        <w:rPr>
          <w:rFonts w:ascii="Verdana" w:hAnsi="Verdana"/>
          <w:rtl w:val="0"/>
          <w:lang w:val="en-US"/>
        </w:rPr>
        <w:t xml:space="preserve">Vondoom, A. (2026b). The Oldest Journalism: Post-LGM coastal inundation, oral transmission, and the geographic distribution of flood mythology. </w:t>
      </w:r>
      <w:r>
        <w:rPr>
          <w:rFonts w:ascii="Verdana" w:hAnsi="Verdana"/>
          <w:i w:val="1"/>
          <w:iCs w:val="1"/>
          <w:rtl w:val="0"/>
        </w:rPr>
        <w:t>Zenodo</w:t>
      </w:r>
      <w:r>
        <w:rPr>
          <w:rFonts w:ascii="Verdana" w:hAnsi="Verdana"/>
          <w:rtl w:val="0"/>
          <w:lang w:val="pt-PT"/>
        </w:rPr>
        <w:t>. DOI: 10.5281/zenodo.22875914.</w:t>
      </w:r>
    </w:p>
    <w:p>
      <w:pPr>
        <w:pStyle w:val="Body"/>
        <w:numPr>
          <w:ilvl w:val="0"/>
          <w:numId w:val="4"/>
        </w:numPr>
        <w:jc w:val="both"/>
        <w:rPr>
          <w:rFonts w:ascii="Verdana" w:hAnsi="Verdana"/>
          <w:lang w:val="en-US"/>
        </w:rPr>
      </w:pPr>
      <w:r>
        <w:rPr>
          <w:rFonts w:ascii="Verdana" w:hAnsi="Verdana"/>
          <w:rtl w:val="0"/>
          <w:lang w:val="en-US"/>
        </w:rPr>
        <w:t xml:space="preserve">Walton, J. (1981). The antediluvian section of the Sumerian King List and Genesis 5. </w:t>
      </w:r>
      <w:r>
        <w:rPr>
          <w:rFonts w:ascii="Verdana" w:hAnsi="Verdana"/>
          <w:i w:val="1"/>
          <w:iCs w:val="1"/>
          <w:rtl w:val="0"/>
          <w:lang w:val="en-US"/>
        </w:rPr>
        <w:t>Biblical Archaeologist</w:t>
      </w:r>
      <w:r>
        <w:rPr>
          <w:rFonts w:ascii="Verdana" w:hAnsi="Verdana"/>
          <w:rtl w:val="0"/>
        </w:rPr>
        <w:t>, 44, 207-208.</w:t>
      </w:r>
    </w:p>
    <w:p>
      <w:pPr>
        <w:pStyle w:val="Body"/>
        <w:numPr>
          <w:ilvl w:val="0"/>
          <w:numId w:val="4"/>
        </w:numPr>
        <w:jc w:val="both"/>
        <w:rPr>
          <w:rFonts w:ascii="Verdana" w:hAnsi="Verdana"/>
          <w:lang w:val="it-IT"/>
        </w:rPr>
      </w:pPr>
      <w:r>
        <w:rPr>
          <w:rFonts w:ascii="Verdana" w:hAnsi="Verdana"/>
          <w:rtl w:val="0"/>
          <w:lang w:val="it-IT"/>
        </w:rPr>
        <w:t xml:space="preserve">Watelin, L.C. (1934). </w:t>
      </w:r>
      <w:r>
        <w:rPr>
          <w:rFonts w:ascii="Verdana" w:hAnsi="Verdana"/>
          <w:i w:val="1"/>
          <w:iCs w:val="1"/>
          <w:rtl w:val="0"/>
          <w:lang w:val="en-US"/>
        </w:rPr>
        <w:t>Excavations at Kish, Vol. IV.</w:t>
      </w:r>
      <w:r>
        <w:rPr>
          <w:rFonts w:ascii="Verdana" w:hAnsi="Verdana"/>
          <w:rtl w:val="0"/>
        </w:rPr>
        <w:t xml:space="preserve"> Paul Geuthner.</w:t>
      </w:r>
    </w:p>
    <w:p>
      <w:pPr>
        <w:pStyle w:val="Body"/>
        <w:numPr>
          <w:ilvl w:val="0"/>
          <w:numId w:val="4"/>
        </w:numPr>
        <w:jc w:val="both"/>
        <w:rPr>
          <w:rFonts w:ascii="Verdana" w:hAnsi="Verdana"/>
        </w:rPr>
      </w:pPr>
      <w:r>
        <w:rPr>
          <w:rFonts w:ascii="Verdana" w:hAnsi="Verdana"/>
          <w:rtl w:val="0"/>
        </w:rPr>
        <w:t xml:space="preserve">Woodmorappe, J. (1996). </w:t>
      </w:r>
      <w:r>
        <w:rPr>
          <w:rFonts w:ascii="Verdana" w:hAnsi="Verdana"/>
          <w:i w:val="1"/>
          <w:iCs w:val="1"/>
          <w:rtl w:val="0"/>
          <w:lang w:val="en-US"/>
        </w:rPr>
        <w:t>Noah's Ark: A Feasibility Study.</w:t>
      </w:r>
      <w:r>
        <w:rPr>
          <w:rFonts w:ascii="Verdana" w:hAnsi="Verdana"/>
          <w:rtl w:val="0"/>
          <w:lang w:val="en-US"/>
        </w:rPr>
        <w:t xml:space="preserve"> Institute for Creation Research.</w:t>
      </w:r>
    </w:p>
    <w:p>
      <w:pPr>
        <w:pStyle w:val="Body"/>
        <w:numPr>
          <w:ilvl w:val="0"/>
          <w:numId w:val="4"/>
        </w:numPr>
        <w:jc w:val="both"/>
        <w:rPr>
          <w:rFonts w:ascii="Verdana" w:hAnsi="Verdana"/>
          <w:lang w:val="it-IT"/>
        </w:rPr>
      </w:pPr>
      <w:r>
        <w:rPr>
          <w:rFonts w:ascii="Verdana" w:hAnsi="Verdana"/>
          <w:rtl w:val="0"/>
          <w:lang w:val="it-IT"/>
        </w:rPr>
        <w:t xml:space="preserve">Woolley, C.L. (1929). </w:t>
      </w:r>
      <w:r>
        <w:rPr>
          <w:rFonts w:ascii="Verdana" w:hAnsi="Verdana"/>
          <w:i w:val="1"/>
          <w:iCs w:val="1"/>
          <w:rtl w:val="0"/>
          <w:lang w:val="en-US"/>
        </w:rPr>
        <w:t>Ur of the Chaldees.</w:t>
      </w:r>
      <w:r>
        <w:rPr>
          <w:rFonts w:ascii="Verdana" w:hAnsi="Verdana"/>
          <w:rtl w:val="0"/>
        </w:rPr>
        <w:t xml:space="preserve"> Ernest Benn.</w:t>
      </w:r>
    </w:p>
    <w:p>
      <w:pPr>
        <w:pStyle w:val="Body"/>
        <w:numPr>
          <w:ilvl w:val="0"/>
          <w:numId w:val="4"/>
        </w:numPr>
        <w:jc w:val="both"/>
        <w:rPr>
          <w:rFonts w:ascii="Verdana" w:hAnsi="Verdana"/>
          <w:lang w:val="it-IT"/>
        </w:rPr>
      </w:pPr>
      <w:r>
        <w:rPr>
          <w:rFonts w:ascii="Verdana" w:hAnsi="Verdana"/>
          <w:rtl w:val="0"/>
          <w:lang w:val="it-IT"/>
        </w:rPr>
        <w:t xml:space="preserve">Woolley, C.L. (1955). </w:t>
      </w:r>
      <w:r>
        <w:rPr>
          <w:rFonts w:ascii="Verdana" w:hAnsi="Verdana"/>
          <w:i w:val="1"/>
          <w:iCs w:val="1"/>
          <w:rtl w:val="0"/>
          <w:lang w:val="en-US"/>
        </w:rPr>
        <w:t>Excavations at Ur: A Record of Twelve Years' Work.</w:t>
      </w:r>
      <w:r>
        <w:rPr>
          <w:rFonts w:ascii="Verdana" w:hAnsi="Verdana"/>
          <w:rtl w:val="0"/>
        </w:rPr>
        <w:t xml:space="preserve"> Ernest Benn.</w:t>
      </w:r>
    </w:p>
    <w:sectPr>
      <w:headerReference w:type="default" r:id="rId4"/>
      <w:headerReference w:type="even" r:id="rId5"/>
      <w:footerReference w:type="default" r:id="rId6"/>
      <w:footerReference w:type="even" r:id="rId7"/>
      <w:pgSz w:w="12240" w:h="15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Verdan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Pr/>
      <w:fldChar w:fldCharType="begin" w:fldLock="0"/>
    </w:r>
    <w:r>
      <w:instrText xml:space="preserve"> PAGE </w:instrText>
    </w:r>
    <w:r>
      <w:rPr/>
      <w:fldChar w:fldCharType="separate" w:fldLock="0"/>
    </w:r>
    <w:r/>
    <w:r>
      <w:rPr/>
      <w:fldChar w:fldCharType="end" w:fldLock="0"/>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Pr/>
      <w:fldChar w:fldCharType="begin" w:fldLock="0"/>
    </w:r>
    <w:r>
      <w:instrText xml:space="preserve"> PAGE </w:instrText>
    </w:r>
    <w:r>
      <w:rPr/>
      <w:fldChar w:fldCharType="separate" w:fldLock="0"/>
    </w:r>
    <w:r/>
    <w:r>
      <w:rPr/>
      <w:fldChar w:fldCharType="end" w:fldLock="0"/>
    </w:r>
    <w:r>
      <w:rPr>
        <w:rtl w:val="0"/>
        <w:lang w:val="en-US"/>
      </w:rPr>
      <w:t xml:space="preserve"> </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Pr>
        <w:rFonts w:ascii="Verdana" w:hAnsi="Verdana"/>
        <w:sz w:val="16"/>
        <w:szCs w:val="16"/>
        <w:rtl w:val="0"/>
        <w:lang w:val="en-US"/>
      </w:rPr>
      <w:t>TESTING THE GLOBAL FLOOD HYPOTHESIS</w:t>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rPr>
        <w:rFonts w:ascii="Verdana" w:hAnsi="Verdana"/>
        <w:sz w:val="16"/>
        <w:szCs w:val="16"/>
        <w:rtl w:val="0"/>
        <w:lang w:val="de-DE"/>
      </w:rPr>
      <w:t>ANTHONY VONDOOM</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Bullets"/>
  </w:abstractNum>
  <w:abstractNum w:abstractNumId="3">
    <w:multiLevelType w:val="hybridMultilevel"/>
    <w:styleLink w:val="Bullets"/>
    <w:lvl w:ilvl="0">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720"/>
          <w:tab w:val="left" w:pos="1440"/>
          <w:tab w:val="left" w:pos="2160"/>
          <w:tab w:val="left" w:pos="2880"/>
          <w:tab w:val="left" w:pos="3600"/>
          <w:tab w:val="left" w:pos="5040"/>
          <w:tab w:val="left" w:pos="5760"/>
          <w:tab w:val="left" w:pos="6480"/>
          <w:tab w:val="left" w:pos="7200"/>
          <w:tab w:val="left" w:pos="7920"/>
          <w:tab w:val="left" w:pos="8640"/>
        </w:tabs>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0"/>
  <w:autoHyphenation w:val="0"/>
  <w:evenAndOddHeaders w:val="1"/>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character" w:styleId="Hyperlink.0">
    <w:name w:val="Hyperlink.0"/>
    <w:basedOn w:val="Hyperlink"/>
    <w:next w:val="Hyperlink.0"/>
    <w:rPr>
      <w:outline w:val="0"/>
      <w:color w:val="0563c1"/>
      <w:u w:val="single" w:color="0563c1"/>
      <w14:textFill>
        <w14:solidFill>
          <w14:srgbClr w14:val="0563C1"/>
        </w14:solidFill>
      </w14:textFill>
    </w:rPr>
  </w:style>
  <w:style w:type="numbering" w:styleId="Numbered">
    <w:name w:val="Numbered"/>
    <w:pPr>
      <w:numPr>
        <w:numId w:val="1"/>
      </w:numPr>
    </w:pPr>
  </w:style>
  <w:style w:type="numbering" w:styleId="Bullets">
    <w:name w:val="Bullets"/>
    <w:pPr>
      <w:numPr>
        <w:numId w:val="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