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44"/>
          <w:szCs w:val="44"/>
        </w:rPr>
      </w:pPr>
      <w:r>
        <w:rPr>
          <w:rFonts w:ascii="Verdana" w:hAnsi="Verdana"/>
          <w:b w:val="1"/>
          <w:bCs w:val="1"/>
          <w:sz w:val="44"/>
          <w:szCs w:val="44"/>
          <w:rtl w:val="0"/>
          <w:lang w:val="en-US"/>
        </w:rPr>
        <w:t>Symbolic Externalization from Deep Prehistory to Artificial Intelligence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r>
        <w:rPr>
          <w:rFonts w:ascii="Verdana" w:hAnsi="Verdana"/>
          <w:i w:val="1"/>
          <w:iCs w:val="1"/>
          <w:sz w:val="24"/>
          <w:szCs w:val="24"/>
          <w:rtl w:val="0"/>
          <w:lang w:val="en-US"/>
        </w:rPr>
        <w:t>A Deep Symbolic Systems Model Account, Tested Against Cave Stratigraphy, Verified Oral Tradition, and Current AI Systems Research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r>
        <w:rPr>
          <w:rStyle w:val="Hyperlink.0"/>
        </w:rPr>
        <w:fldChar w:fldCharType="begin" w:fldLock="0"/>
      </w:r>
      <w:r>
        <w:rPr>
          <w:rStyle w:val="Hyperlink.0"/>
        </w:rPr>
        <w:instrText xml:space="preserve"> HYPERLINK "https://doi.org/10.6084/m9.figshare.32969408"</w:instrText>
      </w:r>
      <w:r>
        <w:rPr>
          <w:rStyle w:val="Hyperlink.0"/>
        </w:rPr>
        <w:fldChar w:fldCharType="separate" w:fldLock="0"/>
      </w:r>
      <w:r>
        <w:rPr>
          <w:rStyle w:val="Hyperlink.0"/>
          <w:rtl w:val="0"/>
          <w:lang w:val="en-US"/>
        </w:rPr>
        <w:t>https://doi.org/10.6084/m9.figshare.32969408</w:t>
      </w:r>
      <w:r>
        <w:rPr/>
        <w:fldChar w:fldCharType="end" w:fldLock="0"/>
      </w:r>
      <w:r>
        <w:rPr>
          <w:rFonts w:ascii="Verdana" w:hAnsi="Verdana"/>
          <w:i w:val="1"/>
          <w:iCs w:val="1"/>
          <w:sz w:val="24"/>
          <w:szCs w:val="24"/>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b w:val="1"/>
          <w:bCs w:val="1"/>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rtl w:val="0"/>
        </w:rPr>
        <w:t xml:space="preserve">Independent Researcher | Cognitive Archaeology | </w:t>
      </w:r>
      <w:r>
        <w:rPr>
          <w:rFonts w:ascii="Verdana" w:hAnsi="Verdana"/>
          <w:rtl w:val="0"/>
          <w:lang w:val="it-IT"/>
        </w:rPr>
        <w:t>Systems theory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rtl w:val="0"/>
          <w:lang w:val="en-US"/>
        </w:rPr>
        <w:t>ORCID: 0009-0003-4953-1427 | anthony.vondoom@outlook.com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tl w:val="0"/>
          <w:lang w:val="it-IT"/>
        </w:rPr>
        <w:t xml:space="preserve">July </w:t>
      </w:r>
      <w:r>
        <w:rPr>
          <w:rFonts w:ascii="Verdana" w:hAnsi="Verdana"/>
          <w:rtl w:val="0"/>
        </w:rPr>
        <w:t>2026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AI Disclosure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author utilized Claude (Anthropic) as an AI research assistant during the preparation of this paper. Claude conducted literature searches for archaeological, historical-geographic, and artificial-intelligence-systems sources under the author's direction and proposed specific sources and passages for inclusion; the author reviewed and selected which proposed material to incorporate and how to weight it in the argument. Claude also verified citation details, including publication dates and author lists, against retrieved source material rather than generating them from memory; stress-tested the theoretical argument and its scope conditions through structured dialogue; and supported structural drafting and prose editing. Every specific dating range, study finding, or methodological detail attributed to a source in this paper was checked against retrieved source material at the time of writing. The AI did not generate original empirical data or originate the paper's theoretical position, and the author retained editorial control over which sources appear and what claims are made about them. All intellectual positions and conclusions remain the sole responsibility of the author. This disclosure follows the author's standing policy across all published work.</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SDG Alignment Statement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research relates to SDG 4 (Quality Education) by advancing an interdisciplinary, falsifiable framework connecting cognitive archaeology to the study of artificial intelligence systems, suitable for use across archaeological, cognitive-science, and AI-governance curricula. It relates to SDG 9 (Industry, Innovation and Infrastructure) by providing a historically grounded account of how externalized cognitive infrastructure </w:t>
      </w:r>
      <w:r>
        <w:rPr>
          <w:rFonts w:ascii="Verdana" w:hAnsi="Verdana" w:hint="default"/>
          <w:rtl w:val="0"/>
          <w:lang w:val="en-US"/>
        </w:rPr>
        <w:t xml:space="preserve">— </w:t>
      </w:r>
      <w:r>
        <w:rPr>
          <w:rFonts w:ascii="Verdana" w:hAnsi="Verdana"/>
          <w:rtl w:val="0"/>
          <w:lang w:val="en-US"/>
        </w:rPr>
        <w:t xml:space="preserve">from durable media to computational systems </w:t>
      </w:r>
      <w:r>
        <w:rPr>
          <w:rFonts w:ascii="Verdana" w:hAnsi="Verdana" w:hint="default"/>
          <w:rtl w:val="0"/>
          <w:lang w:val="en-US"/>
        </w:rPr>
        <w:t xml:space="preserve">— </w:t>
      </w:r>
      <w:r>
        <w:rPr>
          <w:rFonts w:ascii="Verdana" w:hAnsi="Verdana"/>
          <w:rtl w:val="0"/>
          <w:lang w:val="en-US"/>
        </w:rPr>
        <w:t>has repeatedly reshaped the scale at which human communities coordinate and produce. It engages with SDG 16 (Peace, Justice and Strong Institutions) through the paper's finding that artificial intelligence's dependency on continuous institutional maintenance is a structural feature distinct from the resilience properties of earlier externalization technologies, and therefore a relevant consideration for governance frameworks concerned with the durability of AI-embedded knowledge. The paper does not directly address SDG targets but engages with foundational questions relevant to these goals.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Funding Statement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This research received no external funding from any funding agency in the public, commercial, or not-for-profit sectors.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b w:val="1"/>
          <w:bCs w:val="1"/>
          <w:sz w:val="28"/>
          <w:szCs w:val="28"/>
          <w:rtl w:val="0"/>
          <w:lang w:val="en-US"/>
        </w:rPr>
        <w:t>Competing Interests Statement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author declares no competing interests, financial or otherwise, relevant to this paper.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b w:val="1"/>
          <w:bCs w:val="1"/>
          <w:sz w:val="28"/>
          <w:szCs w:val="28"/>
          <w:rtl w:val="0"/>
          <w:lang w:val="en-US"/>
        </w:rPr>
        <w:t>Data Availability Statement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This paper is a theoretical synthesis of previously published archaeological, historical-geographic, and AI-systems literature; it does not generate new primary data. All sources analyzed are cited in the Bibliography and are publicly available through the DOIs, journal records, or repository links provided there.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rtl w:val="0"/>
        </w:rPr>
        <w:t xml:space="preserve"> </w:t>
      </w:r>
      <w:r>
        <w:rPr>
          <w:rFonts w:ascii="Verdana" w:hAnsi="Verdana"/>
          <w:b w:val="1"/>
          <w:bCs w:val="1"/>
          <w:sz w:val="28"/>
          <w:szCs w:val="28"/>
          <w:rtl w:val="0"/>
          <w:lang w:val="de-DE"/>
        </w:rPr>
        <w:t>Abstract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Artificial intelligence is routinely discussed as a rupture in human history </w:t>
      </w:r>
      <w:r>
        <w:rPr>
          <w:rFonts w:ascii="Verdana" w:hAnsi="Verdana" w:hint="default"/>
          <w:rtl w:val="0"/>
          <w:lang w:val="en-US"/>
        </w:rPr>
        <w:t xml:space="preserve">— </w:t>
      </w:r>
      <w:r>
        <w:rPr>
          <w:rFonts w:ascii="Verdana" w:hAnsi="Verdana"/>
          <w:rtl w:val="0"/>
          <w:lang w:val="en-US"/>
        </w:rPr>
        <w:t>a new kind of thing, arriving without precedent. This paper argues that framing is not supported by the archaeological or historical-geographic record, and proposes instead that artificial intelligence is the current stage of a single, continuous process traced here through physical evidence: the externalization of memory and coordination into durable media outside the individual brain, undertaken repeatedly, by different human populations, under a recurring and identifiable pressure. Using the Deep Symbolic Systems Model (DSSM), this paper assembles three evidence bases not previously integrated into a single argument about artificial intelligence: cave-stratigraphy evidence of repeated, pattern-consistent site occupation across multiple regions and periods; a peer-reviewed geographic methodology in which the specific propositional content of Aboriginal Australian oral tradition was checked against independently dated postglacial sea-level data and found accurate to within a range exceeding seven thousand years; and a body of 2025</w:t>
      </w:r>
      <w:r>
        <w:rPr>
          <w:rFonts w:ascii="Verdana" w:hAnsi="Verdana" w:hint="default"/>
          <w:rtl w:val="0"/>
        </w:rPr>
        <w:t>–</w:t>
      </w:r>
      <w:r>
        <w:rPr>
          <w:rFonts w:ascii="Verdana" w:hAnsi="Verdana"/>
          <w:rtl w:val="0"/>
          <w:lang w:val="en-US"/>
        </w:rPr>
        <w:t xml:space="preserve">2026 artificial intelligence systems literature that, independently of archaeology, has converged on the vocabulary of externalization, offloading, and extended cognition to describe how large language model memory architecture is now being built. The paper applies DSSM's four stabilization criteria to artificial intelligence criterion by criterion, finding a genuinely uneven result: strong support for cross-media redundancy, qualified support for intergenerational repetition, an open scope-condition question for spatial constraint, and an unresolved </w:t>
      </w:r>
      <w:r>
        <w:rPr>
          <w:rFonts w:ascii="Verdana" w:hAnsi="Verdana" w:hint="default"/>
          <w:rtl w:val="0"/>
          <w:lang w:val="en-US"/>
        </w:rPr>
        <w:t xml:space="preserve">— </w:t>
      </w:r>
      <w:r>
        <w:rPr>
          <w:rFonts w:ascii="Verdana" w:hAnsi="Verdana"/>
          <w:rtl w:val="0"/>
          <w:lang w:val="en-US"/>
        </w:rPr>
        <w:t xml:space="preserve">and structurally different </w:t>
      </w:r>
      <w:r>
        <w:rPr>
          <w:rFonts w:ascii="Verdana" w:hAnsi="Verdana" w:hint="default"/>
          <w:rtl w:val="0"/>
          <w:lang w:val="en-US"/>
        </w:rPr>
        <w:t xml:space="preserve">— </w:t>
      </w:r>
      <w:r>
        <w:rPr>
          <w:rFonts w:ascii="Verdana" w:hAnsi="Verdana"/>
          <w:rtl w:val="0"/>
          <w:lang w:val="en-US"/>
        </w:rPr>
        <w:t>status for persistence under institutional stress, the criterion on which the continuity claim ultimately depends. This paper supersedes an earlier short-form treatment within the author's corpus whose supporting figures lacked empirical sourcing.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b w:val="1"/>
          <w:bCs w:val="1"/>
          <w:rtl w:val="0"/>
          <w:lang w:val="en-US"/>
        </w:rPr>
        <w:t xml:space="preserve">Keywords: </w:t>
      </w:r>
      <w:r>
        <w:rPr>
          <w:rFonts w:ascii="Verdana" w:hAnsi="Verdana"/>
          <w:rtl w:val="0"/>
          <w:lang w:val="en-US"/>
        </w:rPr>
        <w:t>Deep Symbolic Systems Model, extended cognition, artificial intelligence, oral tradition, cave stratigraphy, cognitive offloading, symbolic externalization, transmission fidelity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numPr>
          <w:ilvl w:val="0"/>
          <w:numId w:val="2"/>
        </w:numPr>
        <w:jc w:val="both"/>
        <w:rPr>
          <w:sz w:val="28"/>
          <w:szCs w:val="28"/>
          <w:lang w:val="en-US"/>
        </w:rPr>
      </w:pPr>
      <w:r>
        <w:rPr>
          <w:rFonts w:ascii="Verdana" w:hAnsi="Verdana"/>
          <w:b w:val="1"/>
          <w:bCs w:val="1"/>
          <w:sz w:val="28"/>
          <w:szCs w:val="28"/>
          <w:rtl w:val="0"/>
          <w:lang w:val="en-US"/>
        </w:rPr>
        <w:t>Introduction: The Same Pressure, A New Medium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Human beings have never stopped trying to put what they know somewhere outside their own skulls. A cave wall marked with a symbol, a story retold at a fire across three hundred generations, a palette carved with a ruler's name, a server holding the trained weights of a language model </w:t>
      </w:r>
      <w:r>
        <w:rPr>
          <w:rFonts w:ascii="Verdana" w:hAnsi="Verdana" w:hint="default"/>
          <w:rtl w:val="0"/>
          <w:lang w:val="en-US"/>
        </w:rPr>
        <w:t xml:space="preserve">— </w:t>
      </w:r>
      <w:r>
        <w:rPr>
          <w:rFonts w:ascii="Verdana" w:hAnsi="Verdana"/>
          <w:rtl w:val="0"/>
          <w:lang w:val="en-US"/>
        </w:rPr>
        <w:t>these are separated by tens of thousands of years and by an almost total change of material, but they are attempts at the same underlying task: keeping information alive past the limits of a single mind and a single lifetime. This paper argues that artificial intelligence should be understood within that continuity rather than outside it, and it tries to make that argument in a way that can be checked against physical and documentary evidence rather than only felt as an analogy.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claim being made is deliberately narrower than a general assertion that </w:t>
      </w:r>
      <w:r>
        <w:rPr>
          <w:rFonts w:ascii="Verdana" w:hAnsi="Verdana" w:hint="default"/>
          <w:rtl w:val="1"/>
          <w:lang w:val="ar-SA" w:bidi="ar-SA"/>
        </w:rPr>
        <w:t>“</w:t>
      </w:r>
      <w:r>
        <w:rPr>
          <w:rFonts w:ascii="Verdana" w:hAnsi="Verdana"/>
          <w:rtl w:val="0"/>
          <w:lang w:val="en-US"/>
        </w:rPr>
        <w:t>AI is like ancient memory.</w:t>
      </w:r>
      <w:r>
        <w:rPr>
          <w:rFonts w:ascii="Verdana" w:hAnsi="Verdana" w:hint="default"/>
          <w:rtl w:val="0"/>
        </w:rPr>
        <w:t xml:space="preserve">” </w:t>
      </w:r>
      <w:r>
        <w:rPr>
          <w:rFonts w:ascii="Verdana" w:hAnsi="Verdana"/>
          <w:rtl w:val="0"/>
          <w:lang w:val="en-US"/>
        </w:rPr>
        <w:t xml:space="preserve">It is this: a specific, recurring pressure </w:t>
      </w:r>
      <w:r>
        <w:rPr>
          <w:rFonts w:ascii="Verdana" w:hAnsi="Verdana" w:hint="default"/>
          <w:rtl w:val="0"/>
          <w:lang w:val="en-US"/>
        </w:rPr>
        <w:t xml:space="preserve">— </w:t>
      </w:r>
      <w:r>
        <w:rPr>
          <w:rFonts w:ascii="Verdana" w:hAnsi="Verdana"/>
          <w:rtl w:val="0"/>
          <w:lang w:val="en-US"/>
        </w:rPr>
        <w:t xml:space="preserve">the point at which a community's or a system's information load outruns the fidelity of its existing transmission channel </w:t>
      </w:r>
      <w:r>
        <w:rPr>
          <w:rFonts w:ascii="Verdana" w:hAnsi="Verdana" w:hint="default"/>
          <w:rtl w:val="0"/>
          <w:lang w:val="en-US"/>
        </w:rPr>
        <w:t xml:space="preserve">— </w:t>
      </w:r>
      <w:r>
        <w:rPr>
          <w:rFonts w:ascii="Verdana" w:hAnsi="Verdana"/>
          <w:rtl w:val="0"/>
          <w:lang w:val="en-US"/>
        </w:rPr>
        <w:t>forces externalization into durable media, and this pressure and its resolution are independently visible in three unrelated bodies of evidence that were not assembled with each other in mind. Sections 3 and 4 show the pressure and its resolution in the deep archaeological and historical-geographic record. Section 6 shows that current artificial intelligence systems research, entirely independently, is describing its own architecture using the same vocabulary. The convergence of these three literatures, evaluated one criterion at a time in Section 8 rather than taken on faith, is what this paper offers as evidence.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Public discussion of artificial intelligence tends to move between two framings that this paper treats as equally unsatisfying because both, in different ways, treat AI as discontinuous with everything that came before it. The first framing presents AI as a rupture to be feared: a categorically new kind of entity whose risks must be understood from first principles because no prior technology offers a usable precedent. The second framing presents AI as a rupture to be celebrated: a leap beyond the limitations of embodied, biological cognition, again implying that little of what preceded it constrains or informs what comes next. Both framings share an assumption this paper does not accept </w:t>
      </w:r>
      <w:r>
        <w:rPr>
          <w:rFonts w:ascii="Verdana" w:hAnsi="Verdana" w:hint="default"/>
          <w:rtl w:val="0"/>
          <w:lang w:val="en-US"/>
        </w:rPr>
        <w:t xml:space="preserve">— </w:t>
      </w:r>
      <w:r>
        <w:rPr>
          <w:rFonts w:ascii="Verdana" w:hAnsi="Verdana"/>
          <w:rtl w:val="0"/>
          <w:lang w:val="en-US"/>
        </w:rPr>
        <w:t xml:space="preserve">that artificial intelligence's relationship to prior human cognitive history is either irrelevant or merely metaphorical. The evidence assembled here suggests a third position: that AI's architecture is continuous, in a specific and checkable sense, with mechanisms already visible in the archaeological and historical-geographic record, and that treating it as a rupture obscures rather than clarifies both its capabilities and its limitations </w:t>
      </w:r>
      <w:r>
        <w:rPr>
          <w:rFonts w:ascii="Verdana" w:hAnsi="Verdana" w:hint="default"/>
          <w:rtl w:val="0"/>
          <w:lang w:val="en-US"/>
        </w:rPr>
        <w:t xml:space="preserve">— </w:t>
      </w:r>
      <w:r>
        <w:rPr>
          <w:rFonts w:ascii="Verdana" w:hAnsi="Verdana"/>
          <w:rtl w:val="0"/>
          <w:lang w:val="en-US"/>
        </w:rPr>
        <w:t>particularly the limitation identified in Sections 8.4 and 9, which a purely rupture-framed discussion of AI has no obvious vocabulary for naming.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matters differently to different readers, and it is worth naming both audiences directly. For an archaeological or cognitive-science reader, the interest is methodological: the paper tests whether a framework built to explain Predynastic Egypt generalizes to a domain its original evidence base never touched, and reports honestly where it does and does not. For a reader coming from AI governance or AI safety, the interest is closer to the one Heritage-Based Alignment (Vondoom, 2026d) already raised: if artificial intelligence is genuinely continuous with a deep-time pattern of externalization rather than a rupture from it, then governance frameworks built entirely around containment and novelty may be missing the specific historical precedents </w:t>
      </w:r>
      <w:r>
        <w:rPr>
          <w:rFonts w:ascii="Verdana" w:hAnsi="Verdana" w:hint="default"/>
          <w:rtl w:val="0"/>
          <w:lang w:val="en-US"/>
        </w:rPr>
        <w:t xml:space="preserve">— </w:t>
      </w:r>
      <w:r>
        <w:rPr>
          <w:rFonts w:ascii="Verdana" w:hAnsi="Verdana"/>
          <w:rtl w:val="0"/>
          <w:lang w:val="en-US"/>
        </w:rPr>
        <w:t xml:space="preserve">and the specific historical failure modes, including the persistence question raised in Section 9 </w:t>
      </w:r>
      <w:r>
        <w:rPr>
          <w:rFonts w:ascii="Verdana" w:hAnsi="Verdana" w:hint="default"/>
          <w:rtl w:val="0"/>
          <w:lang w:val="en-US"/>
        </w:rPr>
        <w:t xml:space="preserve">— </w:t>
      </w:r>
      <w:r>
        <w:rPr>
          <w:rFonts w:ascii="Verdana" w:hAnsi="Verdana"/>
          <w:rtl w:val="0"/>
          <w:lang w:val="en-US"/>
        </w:rPr>
        <w:t>that this longer view makes visible.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1.1 Two Existing Treatments, and Why This Is a Third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Two pieces of the author's existing corpus already engage this territory, and the relationship of this paper to both should be stated plainly. Heritage-Based Alignment (Vondoom, 2026d) argues that artificial intelligence is the most recent event in a roughly 1.5-million-year sequence of symbolic offloading running from Acheulean stone tools through ritual architecture, writing, and administration, and formally defines DSSM's four stabilization criteria in the course of a governance-facing argument about AI safety discourse. Cognitive Continuities Across Human and AI DSSMs (Vondoom, 2026a) made a related, more narrowly framed claim mapping DSSM's four stages directly onto AI-systems terminology, but its supporting quantitative figures </w:t>
      </w:r>
      <w:r>
        <w:rPr>
          <w:rFonts w:ascii="Verdana" w:hAnsi="Verdana" w:hint="default"/>
          <w:rtl w:val="0"/>
          <w:lang w:val="en-US"/>
        </w:rPr>
        <w:t xml:space="preserve">— </w:t>
      </w:r>
      <w:r>
        <w:rPr>
          <w:rFonts w:ascii="Verdana" w:hAnsi="Verdana"/>
          <w:rtl w:val="0"/>
          <w:lang w:val="en-US"/>
        </w:rPr>
        <w:t xml:space="preserve">specific embedding-stability variances, retention percentages, and throughput numbers </w:t>
      </w:r>
      <w:r>
        <w:rPr>
          <w:rFonts w:ascii="Verdana" w:hAnsi="Verdana" w:hint="default"/>
          <w:rtl w:val="0"/>
          <w:lang w:val="en-US"/>
        </w:rPr>
        <w:t xml:space="preserve">— </w:t>
      </w:r>
      <w:r>
        <w:rPr>
          <w:rFonts w:ascii="Verdana" w:hAnsi="Verdana"/>
          <w:rtl w:val="0"/>
          <w:lang w:val="en-US"/>
        </w:rPr>
        <w:t>were not sourced to any measured study and should not be treated as citable findings. This paper does not extend that earlier treatment; it replaces it. The present paper supplies what neither prior piece attempted in comparable depth: a specific, checkable archaeological and historical-geographic evidence base underneath the general continuity claim, and an honest, criterion-by-criterion evaluation of where the parallel to artificial intelligence holds and where it does not.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1.2 The Deeper Origin: Before Caves, Before Stories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evidence assembled in Sections 3 and 4 begins in deep prehistory, but not at the true beginning of the pressure this paper traces. The author's prior peer-reviewed work locates the earliest recoverable signature of that pressure considerably earlier, in the lithic record itself. Acheulean handaxes, produced across an extraordinary span of time and geography, exhibit a consistency of form that many researchers interpret as inconsistent with purely reactive, ad hoc manufacture; the symmetry and standardization of these tools are widely read as evidence of template-governed production </w:t>
      </w:r>
      <w:r>
        <w:rPr>
          <w:rFonts w:ascii="Verdana" w:hAnsi="Verdana" w:hint="default"/>
          <w:rtl w:val="0"/>
          <w:lang w:val="en-US"/>
        </w:rPr>
        <w:t xml:space="preserve">— </w:t>
      </w:r>
      <w:r>
        <w:rPr>
          <w:rFonts w:ascii="Verdana" w:hAnsi="Verdana"/>
          <w:rtl w:val="0"/>
          <w:lang w:val="en-US"/>
        </w:rPr>
        <w:t>a model of the desired outcome held in mind before and during execution (Vondoom, 2026d, drawing on Wynn and Coolidge, 2004). This interpretation is not universally accepted, and the cognitive mechanisms underlying Acheulean standardization remain debated. What the record is consistent with, however, is the proposition that some form of internal modeling preceded physical execution long before any durable symbolic medium existed to hold that model externally.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matters for the present argument because it establishes that the impulse toward externalization is not a response to any particular technology </w:t>
      </w:r>
      <w:r>
        <w:rPr>
          <w:rFonts w:ascii="Verdana" w:hAnsi="Verdana" w:hint="default"/>
          <w:rtl w:val="0"/>
          <w:lang w:val="en-US"/>
        </w:rPr>
        <w:t xml:space="preserve">— </w:t>
      </w:r>
      <w:r>
        <w:rPr>
          <w:rFonts w:ascii="Verdana" w:hAnsi="Verdana"/>
          <w:rtl w:val="0"/>
          <w:lang w:val="en-US"/>
        </w:rPr>
        <w:t xml:space="preserve">not to caves, not to speech, not to writing, not to computation </w:t>
      </w:r>
      <w:r>
        <w:rPr>
          <w:rFonts w:ascii="Verdana" w:hAnsi="Verdana" w:hint="default"/>
          <w:rtl w:val="0"/>
          <w:lang w:val="en-US"/>
        </w:rPr>
        <w:t xml:space="preserve">— </w:t>
      </w:r>
      <w:r>
        <w:rPr>
          <w:rFonts w:ascii="Verdana" w:hAnsi="Verdana"/>
          <w:rtl w:val="0"/>
          <w:lang w:val="en-US"/>
        </w:rPr>
        <w:t>but a considerably older feature of the cognitive architecture that later technologies successively externalize. An organism that checks a developing form against an internal standard and modifies its behavior in response to discrepancy has already, in a minimal sense, begun the project this paper traces to its current computational stage. The site-fidelity and oral-transmission evidence in Sections 3 and 4 should therefore be read not as the origin of the phenomenon but as the earliest points at which it becomes archaeologically and historically checkable against independent evidence.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2. Theoretical Framework: DSSM and the Externalization Mechanism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2.1 The Four-Stage Sequence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Deep Symbolic Systems Model, as formalized and peer-reviewed in the author's application to early Egyptian civilization (Vondoom, 2026e), proposes that human symbolic systems stabilize through four sequential stages, each grounded in an independent line of laboratory or archaeological evidence rather than inferred solely from the outcome it is meant to explain.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Embodied Symbolic Familiarity is the stage at which repeated bodily practice </w:t>
      </w:r>
      <w:r>
        <w:rPr>
          <w:rFonts w:ascii="Verdana" w:hAnsi="Verdana" w:hint="default"/>
          <w:rtl w:val="0"/>
          <w:lang w:val="en-US"/>
        </w:rPr>
        <w:t xml:space="preserve">— </w:t>
      </w:r>
      <w:r>
        <w:rPr>
          <w:rFonts w:ascii="Verdana" w:hAnsi="Verdana"/>
          <w:rtl w:val="0"/>
          <w:lang w:val="en-US"/>
        </w:rPr>
        <w:t xml:space="preserve">procedural memory consolidated in the basal ganglia and cerebellum, spatial layouts encoded by hippocampal and entorhinal systems, multi-agent action sequences coordinated through prefrontal-motor integration </w:t>
      </w:r>
      <w:r>
        <w:rPr>
          <w:rFonts w:ascii="Verdana" w:hAnsi="Verdana" w:hint="default"/>
          <w:rtl w:val="0"/>
          <w:lang w:val="en-US"/>
        </w:rPr>
        <w:t xml:space="preserve">— </w:t>
      </w:r>
      <w:r>
        <w:rPr>
          <w:rFonts w:ascii="Verdana" w:hAnsi="Verdana"/>
          <w:rtl w:val="0"/>
          <w:lang w:val="en-US"/>
        </w:rPr>
        <w:t xml:space="preserve">produces shared, community-convergent neural architecture through direct observation and co-participation, requiring no external medium at all. Ritualized Repetition is the stage at which these practices become sufficiently constrained, stylized, and socially sanctioned to produce predictable, learnable, transmissible patterns; neurologically this is long-term potentiation operating across a community rather than within a single brain, and archaeologically it is visible as declining coefficients of variation in artifact typologies as motor and spatial routines converge toward a shared standard. Material Amplification and Externalized Cognition is the threshold stage </w:t>
      </w:r>
      <w:r>
        <w:rPr>
          <w:rFonts w:ascii="Verdana" w:hAnsi="Verdana" w:hint="default"/>
          <w:rtl w:val="0"/>
          <w:lang w:val="en-US"/>
        </w:rPr>
        <w:t xml:space="preserve">— </w:t>
      </w:r>
      <w:r>
        <w:rPr>
          <w:rFonts w:ascii="Verdana" w:hAnsi="Verdana"/>
          <w:rtl w:val="0"/>
          <w:lang w:val="en-US"/>
        </w:rPr>
        <w:t xml:space="preserve">and the one this paper is centrally concerned with </w:t>
      </w:r>
      <w:r>
        <w:rPr>
          <w:rFonts w:ascii="Verdana" w:hAnsi="Verdana" w:hint="default"/>
          <w:rtl w:val="0"/>
          <w:lang w:val="en-US"/>
        </w:rPr>
        <w:t xml:space="preserve">— </w:t>
      </w:r>
      <w:r>
        <w:rPr>
          <w:rFonts w:ascii="Verdana" w:hAnsi="Verdana"/>
          <w:rtl w:val="0"/>
          <w:lang w:val="en-US"/>
        </w:rPr>
        <w:t>at which symbolic load exceeds what embodied and ritualized practice can reliably maintain, forcing communities to externalize meaning into durable, portable, standardized media or risk symbolic drift across sub-groups that can no longer stay in reliable contact. Cognitive Offloading and Institutional Emergence is the stage at which memory, coordination, and authority migrate systematically from individual cognition into institutional structures and material devices, the proximate mechanism of state formation and the stage at which externalized media stop merely storing content and start actively coordinating behavior at population scale.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2.2 The Four Stabilization Criteria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symbolic system counts as DSSM-stabilized only if it satisfies four criteria simultaneously, as formally specified in the author's prior work (Vondoom, 2025a; 2026d): intergenerational repetition, in which the system reproduces reliably across at least three generations independent of any specific individual carrier; spatial constraint, in which the system imposes recurrent, non-arbitrary structure on space, movement, or behavior; cross-media redundancy, in which the system is expressed in at least two distinct media </w:t>
      </w:r>
      <w:r>
        <w:rPr>
          <w:rFonts w:ascii="Verdana" w:hAnsi="Verdana" w:hint="default"/>
          <w:rtl w:val="0"/>
          <w:lang w:val="en-US"/>
        </w:rPr>
        <w:t xml:space="preserve">— </w:t>
      </w:r>
      <w:r>
        <w:rPr>
          <w:rFonts w:ascii="Verdana" w:hAnsi="Verdana"/>
          <w:rtl w:val="0"/>
          <w:lang w:val="en-US"/>
        </w:rPr>
        <w:t>material, ritual, landscape, or linguistic; and persistence under stress, in which the system maintains recognizable form across ecological disruption, demographic pressure, or political reorganization. These criteria are applied to artificial intelligence directly, and without assuming the answer in advance, in Section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2.3 Extended Cognition: An Independent Philosophical Confirmation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DSSM's Stage 3 claim </w:t>
      </w:r>
      <w:r>
        <w:rPr>
          <w:rFonts w:ascii="Verdana" w:hAnsi="Verdana" w:hint="default"/>
          <w:rtl w:val="0"/>
          <w:lang w:val="en-US"/>
        </w:rPr>
        <w:t xml:space="preserve">— </w:t>
      </w:r>
      <w:r>
        <w:rPr>
          <w:rFonts w:ascii="Verdana" w:hAnsi="Verdana"/>
          <w:rtl w:val="0"/>
          <w:lang w:val="en-US"/>
        </w:rPr>
        <w:t xml:space="preserve">that durable media do not merely record pre-formed symbolic content but actively extend and transform the cognitive process itself </w:t>
      </w:r>
      <w:r>
        <w:rPr>
          <w:rFonts w:ascii="Verdana" w:hAnsi="Verdana" w:hint="default"/>
          <w:rtl w:val="0"/>
          <w:lang w:val="en-US"/>
        </w:rPr>
        <w:t xml:space="preserve">— </w:t>
      </w:r>
      <w:r>
        <w:rPr>
          <w:rFonts w:ascii="Verdana" w:hAnsi="Verdana"/>
          <w:rtl w:val="0"/>
          <w:lang w:val="en-US"/>
        </w:rPr>
        <w:t xml:space="preserve">is not unique to DSSM. It restates, in archaeological terms, a claim already made independently in the philosophy of mind literature. Clark and Chalmers (1998) argued that cognitive processes are not necessarily bounded by the brain, illustrating the point with deliberately mundane examples: the use of pen and paper to perform long multiplication, physical rearrangement of letter tiles to prompt word recall, the use of navigational instruments, and more broadly </w:t>
      </w:r>
      <w:r>
        <w:rPr>
          <w:rFonts w:ascii="Verdana" w:hAnsi="Verdana" w:hint="default"/>
          <w:rtl w:val="1"/>
          <w:lang w:val="ar-SA" w:bidi="ar-SA"/>
        </w:rPr>
        <w:t>“</w:t>
      </w:r>
      <w:r>
        <w:rPr>
          <w:rFonts w:ascii="Verdana" w:hAnsi="Verdana"/>
          <w:rtl w:val="0"/>
          <w:lang w:val="en-US"/>
        </w:rPr>
        <w:t>language, books, diagrams, and culture.</w:t>
      </w:r>
      <w:r>
        <w:rPr>
          <w:rFonts w:ascii="Verdana" w:hAnsi="Verdana" w:hint="default"/>
          <w:rtl w:val="0"/>
        </w:rPr>
        <w:t xml:space="preserve">” </w:t>
      </w:r>
      <w:r>
        <w:rPr>
          <w:rFonts w:ascii="Verdana" w:hAnsi="Verdana"/>
          <w:rtl w:val="0"/>
          <w:lang w:val="en-US"/>
        </w:rPr>
        <w:t xml:space="preserve">Their central claim was that the individual brain performs some cognitive operations while others are delegated to manipulations of external media, and that had human brains evolved differently, this distribution of cognitive labor would have settled somewhere else. Hutchins (1995) demonstrated the same principle ethnographically, showing that complex naval navigation tasks are routinely distributed across crew members, instruments, and the physical layout of a ship in ways that exceed what any individual mind could accomplish unaided. That two independent literatures </w:t>
      </w:r>
      <w:r>
        <w:rPr>
          <w:rFonts w:ascii="Verdana" w:hAnsi="Verdana" w:hint="default"/>
          <w:rtl w:val="0"/>
          <w:lang w:val="en-US"/>
        </w:rPr>
        <w:t xml:space="preserve">— </w:t>
      </w:r>
      <w:r>
        <w:rPr>
          <w:rFonts w:ascii="Verdana" w:hAnsi="Verdana"/>
          <w:rtl w:val="0"/>
          <w:lang w:val="en-US"/>
        </w:rPr>
        <w:t xml:space="preserve">cognitive archaeology and philosophy of mind </w:t>
      </w:r>
      <w:r>
        <w:rPr>
          <w:rFonts w:ascii="Verdana" w:hAnsi="Verdana" w:hint="default"/>
          <w:rtl w:val="0"/>
          <w:lang w:val="en-US"/>
        </w:rPr>
        <w:t xml:space="preserve">— </w:t>
      </w:r>
      <w:r>
        <w:rPr>
          <w:rFonts w:ascii="Verdana" w:hAnsi="Verdana"/>
          <w:rtl w:val="0"/>
          <w:lang w:val="en-US"/>
        </w:rPr>
        <w:t>arrived at structurally identical claims about externalized cognition, decades apart and without coordination, is itself a form of corroboration this paper treats as load-bearing.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2.4 The Transmission Fidelity Model: Why Externalization Happens When It Happens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DSSM's distinctive contribution beyond restating extended cognition is to specify, on independent theoretical grounds, when a community is forced across the externalization threshold, and to test that specification against evidence. The author's Transmission Fidelity Model (Vondoom, 2026e) proposes that face-to-face, embodied and ritualized transmission is reliable only up to a bounded community size, derived from Dunbar's (2009) social brain hypothesis and calibrated against ethnographic evidence on aggregation-based resynchronization reviewed by Henrich (2015). Communities whose effective size consistently exceeds approximately five hundred individuals face a transmission fidelity crisis </w:t>
      </w:r>
      <w:r>
        <w:rPr>
          <w:rFonts w:ascii="Verdana" w:hAnsi="Verdana" w:hint="default"/>
          <w:rtl w:val="0"/>
          <w:lang w:val="en-US"/>
        </w:rPr>
        <w:t xml:space="preserve">— </w:t>
      </w:r>
      <w:r>
        <w:rPr>
          <w:rFonts w:ascii="Verdana" w:hAnsi="Verdana"/>
          <w:rtl w:val="0"/>
          <w:lang w:val="en-US"/>
        </w:rPr>
        <w:t xml:space="preserve">population-level symbolic drift that outpaces within-group consolidation </w:t>
      </w:r>
      <w:r>
        <w:rPr>
          <w:rFonts w:ascii="Verdana" w:hAnsi="Verdana" w:hint="default"/>
          <w:rtl w:val="0"/>
          <w:lang w:val="en-US"/>
        </w:rPr>
        <w:t xml:space="preserve">— </w:t>
      </w:r>
      <w:r>
        <w:rPr>
          <w:rFonts w:ascii="Verdana" w:hAnsi="Verdana"/>
          <w:rtl w:val="0"/>
          <w:lang w:val="en-US"/>
        </w:rPr>
        <w:t xml:space="preserve">generating adaptive pressure to externalize symbolic content into durable, portable, standardized media capable of carrying meaning across sub-group boundaries without requiring co-presence. Communities that remain below this threshold, as the Australian ethnographic case demonstrates with unusual clarity, do not face the crisis and do not develop the same pressure (Vondoom, 2026e; Keen, 2018; Merlan, 2020). This mechanism </w:t>
      </w:r>
      <w:r>
        <w:rPr>
          <w:rFonts w:ascii="Verdana" w:hAnsi="Verdana" w:hint="default"/>
          <w:rtl w:val="0"/>
          <w:lang w:val="en-US"/>
        </w:rPr>
        <w:t xml:space="preserve">— </w:t>
      </w:r>
      <w:r>
        <w:rPr>
          <w:rFonts w:ascii="Verdana" w:hAnsi="Verdana"/>
          <w:rtl w:val="0"/>
          <w:lang w:val="en-US"/>
        </w:rPr>
        <w:t xml:space="preserve">a specific, falsifiable threshold rather than a vague appeal to </w:t>
      </w:r>
      <w:r>
        <w:rPr>
          <w:rFonts w:ascii="Verdana" w:hAnsi="Verdana" w:hint="default"/>
          <w:rtl w:val="1"/>
          <w:lang w:val="ar-SA" w:bidi="ar-SA"/>
        </w:rPr>
        <w:t>“</w:t>
      </w:r>
      <w:r>
        <w:rPr>
          <w:rFonts w:ascii="Verdana" w:hAnsi="Verdana"/>
          <w:rtl w:val="0"/>
          <w:lang w:val="en-US"/>
        </w:rPr>
        <w:t>complexity</w:t>
      </w:r>
      <w:r>
        <w:rPr>
          <w:rFonts w:ascii="Verdana" w:hAnsi="Verdana" w:hint="default"/>
          <w:rtl w:val="0"/>
          <w:lang w:val="en-US"/>
        </w:rPr>
        <w:t xml:space="preserve">” — </w:t>
      </w:r>
      <w:r>
        <w:rPr>
          <w:rFonts w:ascii="Verdana" w:hAnsi="Verdana"/>
          <w:rtl w:val="0"/>
          <w:lang w:val="en-US"/>
        </w:rPr>
        <w:t>is what Sections 3 through 6 test against independent evidence, first archaeological, then historical-geographic, then computational.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One further feature of the threshold is worth making explicit because it recurs directly in Section 8's evaluation of artificial intelligence. The threshold is defined in terms of effective community size, not raw population: what matters is the number of individuals a given transmission event must reliably reach, not the total number of individuals who may eventually receive the information through some chain of retelling. This distinction is what allows the model to treat large exchange networks built from many small co-residential units, such as the Highland New Guinea case discussed in the author's peer-reviewed work, as Stage 2-complete rather than Stage 3-complete despite their aggregate scale (Vondoom, 2026e, Section 5.3.1). The same distinction becomes directly relevant when the threshold concept is applied to artificial intelligence's own scale of operation in Section 8.2: whether the relevant unit for assessing AI's intergenerational-repetition criterion is a single model instance, a model family across versions, or the aggregate user base interacting with a deployed system is a question this paper does not resolve, but it is the same category of question the Highland New Guinea case already required DSSM to answer for a human population, which suggests the model has at least the conceptual resources to be extended to it.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2.5 Writing as the Nearest Precedent: Codification, Not Origin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Before turning to evidence further back in time, it is worth pausing on the historical transition that sits structurally closest to the one this paper argues artificial intelligence now represents: the emergence of writing. The temptation, when writing appears in the archaeological record, is to treat it as the origin of complex symbolic thought </w:t>
      </w:r>
      <w:r>
        <w:rPr>
          <w:rFonts w:ascii="Verdana" w:hAnsi="Verdana" w:hint="default"/>
          <w:rtl w:val="0"/>
          <w:lang w:val="en-US"/>
        </w:rPr>
        <w:t xml:space="preserve">— </w:t>
      </w:r>
      <w:r>
        <w:rPr>
          <w:rFonts w:ascii="Verdana" w:hAnsi="Verdana"/>
          <w:rtl w:val="0"/>
          <w:lang w:val="en-US"/>
        </w:rPr>
        <w:t xml:space="preserve">the moment abstraction became possible. The author's peer-reviewed application of DSSM to early Egyptian civilization tested this assumption directly and found it does not hold. A computational corpus analysis of early hieroglyphic graphemic elements found that 68 percent were traceable to prior, non-written material culture </w:t>
      </w:r>
      <w:r>
        <w:rPr>
          <w:rFonts w:ascii="Verdana" w:hAnsi="Verdana" w:hint="default"/>
          <w:rtl w:val="0"/>
          <w:lang w:val="en-US"/>
        </w:rPr>
        <w:t xml:space="preserve">— </w:t>
      </w:r>
      <w:r>
        <w:rPr>
          <w:rFonts w:ascii="Verdana" w:hAnsi="Verdana"/>
          <w:rtl w:val="0"/>
          <w:lang w:val="en-US"/>
        </w:rPr>
        <w:t>to motifs already established in ceramic iconography, palette decoration, and mortuary imagery generations before the first administrative inscriptions appear at Abydos U-j (Vondoom, 2026e, Section 4.6, citing Stauder, 2018, and Regulski, 2010). Writing, on this evidence, did not introduce Egyptian symbolic cognition; it codified and compressed a symbolic grammar that had already been stabilizing for a millennium or more. It is worth carrying forward a caveat the source paper itself makes rather than dropping it here: that paper's own limitations section notes its quantitative figures, including this one, are preliminary estimates from published assemblage reports rather than validated primary measurements, functioning as falsifiable first-order predictions rather than settled findings (Vondoom, 2026e, Section 7.2). The 68 percent figure should be read with that qualification in mind throughout this paper.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finding is the closest available precedent, within the author's own peer-reviewed corpus, for the claim this paper makes about artificial intelligence, and it is worth naming the parallel with precision rather than leaving it implicit. Just as hieroglyphic writing did not invent the symbolic content it recorded but gave existing content a new, more compressed and more durable medium, the artificial intelligence systems examined in Section 6 do not appear, on current evidence, to be originating a new form of cognition so much as providing a new, more compressed and more scalable medium for externalizing cognitive content that human communities were already generating by other means. The difference this paper takes seriously, rather than glossing over, is that writing's medium required no infrastructure to remain legible once inscribed, while artificial intelligence's medium does </w:t>
      </w:r>
      <w:r>
        <w:rPr>
          <w:rFonts w:ascii="Verdana" w:hAnsi="Verdana" w:hint="default"/>
          <w:rtl w:val="0"/>
          <w:lang w:val="en-US"/>
        </w:rPr>
        <w:t xml:space="preserve">— </w:t>
      </w:r>
      <w:r>
        <w:rPr>
          <w:rFonts w:ascii="Verdana" w:hAnsi="Verdana"/>
          <w:rtl w:val="0"/>
          <w:lang w:val="en-US"/>
        </w:rPr>
        <w:t>the exact asymmetry developed in Sections 8.4 and 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2.6 A Note on Terminology Across Four Literatures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paper draws on four literatures </w:t>
      </w:r>
      <w:r>
        <w:rPr>
          <w:rFonts w:ascii="Verdana" w:hAnsi="Verdana" w:hint="default"/>
          <w:rtl w:val="0"/>
          <w:lang w:val="en-US"/>
        </w:rPr>
        <w:t xml:space="preserve">— </w:t>
      </w:r>
      <w:r>
        <w:rPr>
          <w:rFonts w:ascii="Verdana" w:hAnsi="Verdana"/>
          <w:rtl w:val="0"/>
          <w:lang w:val="en-US"/>
        </w:rPr>
        <w:t xml:space="preserve">cognitive archaeology, philosophy of mind, cognitive neuroscience, and AI systems engineering </w:t>
      </w:r>
      <w:r>
        <w:rPr>
          <w:rFonts w:ascii="Verdana" w:hAnsi="Verdana" w:hint="default"/>
          <w:rtl w:val="0"/>
          <w:lang w:val="en-US"/>
        </w:rPr>
        <w:t xml:space="preserve">— </w:t>
      </w:r>
      <w:r>
        <w:rPr>
          <w:rFonts w:ascii="Verdana" w:hAnsi="Verdana"/>
          <w:rtl w:val="0"/>
          <w:lang w:val="en-US"/>
        </w:rPr>
        <w:t xml:space="preserve">that use overlapping but not identical vocabulary for closely related ideas, and it is worth being explicit about the mapping rather than letting the terms blur into one another. Externalization, as used in DSSM and in the AI-systems literature surveyed in Section 6, refers to the transfer of information storage or processing from an internal substrate to an external medium. Extended cognition, the term used by Clark and Chalmers (1998) and by the philosophy-of-mind-adjacent AI papers in Section 6.3, is the stronger philosophical claim that the external medium becomes a functional part of the cognitive system itself, not merely a place where the system's outputs are stored. Cognitive offloading, the term from Risko and Gilbert (2016), is narrower still: it describes the specific act of delegating a mental operation to an external tool, without necessarily taking a position on whether that tool becomes part of the cognitive system in Clark and Chalmers's stronger sense. This paper's own argument depends primarily on the first and broadest term </w:t>
      </w:r>
      <w:r>
        <w:rPr>
          <w:rFonts w:ascii="Verdana" w:hAnsi="Verdana" w:hint="default"/>
          <w:rtl w:val="0"/>
          <w:lang w:val="en-US"/>
        </w:rPr>
        <w:t xml:space="preserve">— </w:t>
      </w:r>
      <w:r>
        <w:rPr>
          <w:rFonts w:ascii="Verdana" w:hAnsi="Verdana"/>
          <w:rtl w:val="0"/>
          <w:lang w:val="en-US"/>
        </w:rPr>
        <w:t xml:space="preserve">externalization </w:t>
      </w:r>
      <w:r>
        <w:rPr>
          <w:rFonts w:ascii="Verdana" w:hAnsi="Verdana" w:hint="default"/>
          <w:rtl w:val="0"/>
          <w:lang w:val="en-US"/>
        </w:rPr>
        <w:t xml:space="preserve">— </w:t>
      </w:r>
      <w:r>
        <w:rPr>
          <w:rFonts w:ascii="Verdana" w:hAnsi="Verdana"/>
          <w:rtl w:val="0"/>
          <w:lang w:val="en-US"/>
        </w:rPr>
        <w:t>and treats extended cognition and cognitive offloading as compatible, more specific formulations of the same underlying mechanism from adjacent disciplines, rather than treating all three as strictly synonymous. Where a cited source uses one of the three terms specifically, this paper preserves that source's own term rather than silently substituting DSSM's preferred vocabulary.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3. Deep-Time Evidence I: Site Fidelity and Cave Stratigraphy Across Multiple Regions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Caves are among archaeology's most valuable chronological archives because karstic limestone environments preserve long, layered stratigraphic sequences under comparatively stable internal conditions, which is precisely why such sites are selectively targeted by researchers seeking continuous occupation records. A number of well-documented sites across different regions independently show not merely occasional reuse but sustained, pattern-consistent reoccupation across spans of many thousands of years, which is the archaeological signature this paper treats as necessary </w:t>
      </w:r>
      <w:r>
        <w:rPr>
          <w:rFonts w:ascii="Verdana" w:hAnsi="Verdana" w:hint="default"/>
          <w:rtl w:val="0"/>
          <w:lang w:val="en-US"/>
        </w:rPr>
        <w:t xml:space="preserve">— </w:t>
      </w:r>
      <w:r>
        <w:rPr>
          <w:rFonts w:ascii="Verdana" w:hAnsi="Verdana"/>
          <w:rtl w:val="0"/>
          <w:lang w:val="en-US"/>
        </w:rPr>
        <w:t xml:space="preserve">though, as Section 3.3 makes clear, not sufficient on its own </w:t>
      </w:r>
      <w:r>
        <w:rPr>
          <w:rFonts w:ascii="Verdana" w:hAnsi="Verdana" w:hint="default"/>
          <w:rtl w:val="0"/>
          <w:lang w:val="en-US"/>
        </w:rPr>
        <w:t xml:space="preserve">— </w:t>
      </w:r>
      <w:r>
        <w:rPr>
          <w:rFonts w:ascii="Verdana" w:hAnsi="Verdana"/>
          <w:rtl w:val="0"/>
          <w:lang w:val="en-US"/>
        </w:rPr>
        <w:t>evidence for transmitted locational knowledge.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3.1 Teixoneres Cave: Consistent Spatial Use Across 7,000-Plus Years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pt-PT"/>
        </w:rPr>
        <w:t>Teixoneres Cave, in Mo</w:t>
      </w:r>
      <w:r>
        <w:rPr>
          <w:rFonts w:ascii="Verdana" w:hAnsi="Verdana" w:hint="default"/>
          <w:rtl w:val="0"/>
        </w:rPr>
        <w:t>à</w:t>
      </w:r>
      <w:r>
        <w:rPr>
          <w:rFonts w:ascii="Verdana" w:hAnsi="Verdana"/>
          <w:rtl w:val="0"/>
          <w:lang w:val="en-US"/>
        </w:rPr>
        <w:t xml:space="preserve">, Barcelona, preserves an eight-unit stratigraphic sequence. A detailed spatial analysis of Unit III, formed during Marine Isotope Stage 3, found that faunal remains, lithic artefacts, hearths, and charcoal were consistently concentrated at the cave entrance across a range exceeding 7,000 years, with the pattern interpreted by the excavating team as the product of repeated short-term occupations by Neanderthal groups rather than one continuous settlement. What is evidentially significant is not simply that people returned, but that they returned to perform the same activities </w:t>
      </w:r>
      <w:r>
        <w:rPr>
          <w:rFonts w:ascii="Verdana" w:hAnsi="Verdana" w:hint="default"/>
          <w:rtl w:val="0"/>
          <w:lang w:val="en-US"/>
        </w:rPr>
        <w:t xml:space="preserve">— </w:t>
      </w:r>
      <w:r>
        <w:rPr>
          <w:rFonts w:ascii="Verdana" w:hAnsi="Verdana"/>
          <w:rtl w:val="0"/>
          <w:lang w:val="en-US"/>
        </w:rPr>
        <w:t xml:space="preserve">fire use, in particular </w:t>
      </w:r>
      <w:r>
        <w:rPr>
          <w:rFonts w:ascii="Verdana" w:hAnsi="Verdana" w:hint="default"/>
          <w:rtl w:val="0"/>
          <w:lang w:val="en-US"/>
        </w:rPr>
        <w:t xml:space="preserve">— </w:t>
      </w:r>
      <w:r>
        <w:rPr>
          <w:rFonts w:ascii="Verdana" w:hAnsi="Verdana"/>
          <w:rtl w:val="0"/>
          <w:lang w:val="en-US"/>
        </w:rPr>
        <w:t>in the same specific zone of the cave, across a time depth that vastly exceeds any plausible chain of direct personal memory or single-lineage continuity.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3.2 Grotta Romanelli and Pinnacle Point: Convergent Patterns Elsewhere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pattern is not confined to a single site or region. Grotta Romanelli, in southern Italy, has been reassessed with new dating placing the oldest human frequentation of the cave between Marine Isotope Stages 9 and 7, meaning occupation spanned both glacial and interglacial climatic cycles and persisted beyond the Pleistocene-Holocene boundary </w:t>
      </w:r>
      <w:r>
        <w:rPr>
          <w:rFonts w:ascii="Verdana" w:hAnsi="Verdana" w:hint="default"/>
          <w:rtl w:val="0"/>
          <w:lang w:val="en-US"/>
        </w:rPr>
        <w:t xml:space="preserve">— </w:t>
      </w:r>
      <w:r>
        <w:rPr>
          <w:rFonts w:ascii="Verdana" w:hAnsi="Verdana"/>
          <w:rtl w:val="0"/>
          <w:lang w:val="en-US"/>
        </w:rPr>
        <w:t>a continuity of site use across dramatically shifting environmental conditions. At Pinnacle Point, South Africa, stratigraphic work has documented rich Middle Stone Age sediments across multiple marine isotope stages within a complex of caves that shared formational and depositional histories, indicating that specific cave locations within the wider complex were returned to and used differently from one another over a very long occupation history. That comparable patterns of long-term, spatially consistent site fidelity appear independently in the Iberian, Italian, and South African archaeological records strengthens the general claim beyond what any single site could support.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Taken together, these three cases share a feature worth naming explicitly: in each, the behavioral pattern that recurs is not simply presence but function </w:t>
      </w:r>
      <w:r>
        <w:rPr>
          <w:rFonts w:ascii="Verdana" w:hAnsi="Verdana" w:hint="default"/>
          <w:rtl w:val="0"/>
          <w:lang w:val="en-US"/>
        </w:rPr>
        <w:t xml:space="preserve">— </w:t>
      </w:r>
      <w:r>
        <w:rPr>
          <w:rFonts w:ascii="Verdana" w:hAnsi="Verdana"/>
          <w:rtl w:val="0"/>
          <w:lang w:val="en-US"/>
        </w:rPr>
        <w:t xml:space="preserve">the same activity, in the same zone of the same site, across a span of time that exceeds what any single group's institutional or genetic continuity could plausibly explain on its own. This is consistent with, though it does not by itself prove, transmitted knowledge of both a location and its purpose, which is the archaeological signature DSSM's Stage 1 mechanism predicts long before any Stage 3 externalization medium exists to record that knowledge more durably. The three sites also span markedly different environments </w:t>
      </w:r>
      <w:r>
        <w:rPr>
          <w:rFonts w:ascii="Verdana" w:hAnsi="Verdana" w:hint="default"/>
          <w:rtl w:val="0"/>
          <w:lang w:val="en-US"/>
        </w:rPr>
        <w:t xml:space="preserve">— </w:t>
      </w:r>
      <w:r>
        <w:rPr>
          <w:rFonts w:ascii="Verdana" w:hAnsi="Verdana"/>
          <w:rtl w:val="0"/>
          <w:lang w:val="en-US"/>
        </w:rPr>
        <w:t xml:space="preserve">Iberian karst, Mediterranean coastal cave, and South African Middle Stone Age cave complex </w:t>
      </w:r>
      <w:r>
        <w:rPr>
          <w:rFonts w:ascii="Verdana" w:hAnsi="Verdana" w:hint="default"/>
          <w:rtl w:val="0"/>
          <w:lang w:val="en-US"/>
        </w:rPr>
        <w:t xml:space="preserve">— </w:t>
      </w:r>
      <w:r>
        <w:rPr>
          <w:rFonts w:ascii="Verdana" w:hAnsi="Verdana"/>
          <w:rtl w:val="0"/>
          <w:lang w:val="en-US"/>
        </w:rPr>
        <w:t>which weighs against explaining the pattern as an artifact of one region's unusual preservation conditions.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3.3 The Limits of Stratigraphy Alone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An honest treatment of this evidence must include the caveat the source literature itself makes plainly: long stratigraphic sequences of this kind are frequently palimpsests </w:t>
      </w:r>
      <w:r>
        <w:rPr>
          <w:rFonts w:ascii="Verdana" w:hAnsi="Verdana" w:hint="default"/>
          <w:rtl w:val="0"/>
          <w:lang w:val="en-US"/>
        </w:rPr>
        <w:t xml:space="preserve">— </w:t>
      </w:r>
      <w:r>
        <w:rPr>
          <w:rFonts w:ascii="Verdana" w:hAnsi="Verdana"/>
          <w:rtl w:val="0"/>
          <w:lang w:val="en-US"/>
        </w:rPr>
        <w:t xml:space="preserve">overlapping occupation traces from multiple groups, and in some cases from alternating human and non-human use </w:t>
      </w:r>
      <w:r>
        <w:rPr>
          <w:rFonts w:ascii="Verdana" w:hAnsi="Verdana" w:hint="default"/>
          <w:rtl w:val="0"/>
          <w:lang w:val="en-US"/>
        </w:rPr>
        <w:t xml:space="preserve">— </w:t>
      </w:r>
      <w:r>
        <w:rPr>
          <w:rFonts w:ascii="Verdana" w:hAnsi="Verdana"/>
          <w:rtl w:val="0"/>
          <w:lang w:val="en-US"/>
        </w:rPr>
        <w:t xml:space="preserve">that are difficult to cleanly disaggregate by lineage. Stratigraphy alone cannot distinguish </w:t>
      </w:r>
      <w:r>
        <w:rPr>
          <w:rFonts w:ascii="Verdana" w:hAnsi="Verdana" w:hint="default"/>
          <w:rtl w:val="1"/>
          <w:lang w:val="ar-SA" w:bidi="ar-SA"/>
        </w:rPr>
        <w:t>“</w:t>
      </w:r>
      <w:r>
        <w:rPr>
          <w:rFonts w:ascii="Verdana" w:hAnsi="Verdana"/>
          <w:rtl w:val="0"/>
          <w:lang w:val="en-US"/>
        </w:rPr>
        <w:t>the same transmission lineage returned because they were told to</w:t>
      </w:r>
      <w:r>
        <w:rPr>
          <w:rFonts w:ascii="Verdana" w:hAnsi="Verdana" w:hint="default"/>
          <w:rtl w:val="0"/>
        </w:rPr>
        <w:t xml:space="preserve">” </w:t>
      </w:r>
      <w:r>
        <w:rPr>
          <w:rFonts w:ascii="Verdana" w:hAnsi="Verdana"/>
          <w:rtl w:val="0"/>
          <w:lang w:val="en-US"/>
        </w:rPr>
        <w:t xml:space="preserve">from </w:t>
      </w:r>
      <w:r>
        <w:rPr>
          <w:rFonts w:ascii="Verdana" w:hAnsi="Verdana" w:hint="default"/>
          <w:rtl w:val="1"/>
          <w:lang w:val="ar-SA" w:bidi="ar-SA"/>
        </w:rPr>
        <w:t>“</w:t>
      </w:r>
      <w:r>
        <w:rPr>
          <w:rFonts w:ascii="Verdana" w:hAnsi="Verdana"/>
          <w:rtl w:val="0"/>
          <w:lang w:val="en-US"/>
        </w:rPr>
        <w:t>independent groups repeatedly rediscovered the same objectively favorable shelter near water, food, or protection from the elements and predators.</w:t>
      </w:r>
      <w:r>
        <w:rPr>
          <w:rFonts w:ascii="Verdana" w:hAnsi="Verdana" w:hint="default"/>
          <w:rtl w:val="0"/>
        </w:rPr>
        <w:t xml:space="preserve">” </w:t>
      </w:r>
      <w:r>
        <w:rPr>
          <w:rFonts w:ascii="Verdana" w:hAnsi="Verdana"/>
          <w:rtl w:val="0"/>
          <w:lang w:val="en-US"/>
        </w:rPr>
        <w:t>Site fidelity of this kind is necessary but not sufficient evidence for transmitted locational knowledge in the strong sense this paper's argument requires. Section 4 turns to evidence that closes this specific gap, because it does not infer transmission from spatial pattern alone; it tests the propositional content of orally transmitted stories directly against independently dated geological data.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4. Deep-Time Evidence II: Verified Content in Oral Transmission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4.1 The Nunn and Reid Method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strongest available evidence that oral transmission can preserve specific, checkable information across many thousands of years comes from geographer Patrick Nunn and colleagues' work on Aboriginal Australian oral traditions describing the postglacial rise of sea level. Nunn and Reid (2016) collected stories from twenty-one locations spanning the Australian coastline, each describing a former, now-submerged extent of coastal land. For each site, the authors calculated the minimum water depth below present sea level required for the specific details in the local stories to be true, and compared that calculated depth against an independently constructed sea-level curve for the Australian coast. Across the sample, the stories were found consistent with coastal configurations that existed more than approximately 7,000 years ago, with some individual cases dated considerably older </w:t>
      </w:r>
      <w:r>
        <w:rPr>
          <w:rFonts w:ascii="Verdana" w:hAnsi="Verdana" w:hint="default"/>
          <w:rtl w:val="0"/>
          <w:lang w:val="en-US"/>
        </w:rPr>
        <w:t xml:space="preserve">— </w:t>
      </w:r>
      <w:r>
        <w:rPr>
          <w:rFonts w:ascii="Verdana" w:hAnsi="Verdana"/>
          <w:rtl w:val="0"/>
          <w:lang w:val="en-US"/>
        </w:rPr>
        <w:t>in the range of the earliest postglacial sea-level stabilization.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case is evidentially stronger than the cave-stratigraphy material in Section 3 for a specific methodological reason: it does not infer transmission from a spatial pattern that could in principle arise from independent behavior. It tests the propositional content of a story </w:t>
      </w:r>
      <w:r>
        <w:rPr>
          <w:rFonts w:ascii="Verdana" w:hAnsi="Verdana" w:hint="default"/>
          <w:rtl w:val="0"/>
          <w:lang w:val="en-US"/>
        </w:rPr>
        <w:t xml:space="preserve">— </w:t>
      </w:r>
      <w:r>
        <w:rPr>
          <w:rFonts w:ascii="Verdana" w:hAnsi="Verdana"/>
          <w:rtl w:val="0"/>
          <w:lang w:val="en-US"/>
        </w:rPr>
        <w:t xml:space="preserve">a specific claim about where a coastline used to be </w:t>
      </w:r>
      <w:r>
        <w:rPr>
          <w:rFonts w:ascii="Verdana" w:hAnsi="Verdana" w:hint="default"/>
          <w:rtl w:val="0"/>
          <w:lang w:val="en-US"/>
        </w:rPr>
        <w:t xml:space="preserve">— </w:t>
      </w:r>
      <w:r>
        <w:rPr>
          <w:rFonts w:ascii="Verdana" w:hAnsi="Verdana"/>
          <w:rtl w:val="0"/>
          <w:lang w:val="en-US"/>
        </w:rPr>
        <w:t>against physical evidence that has no causal connection to the story's transmission. The story and the geology are independent lines of evidence that converge, and that convergence is difficult to explain except by transmission of the original observation, through however many intermediate retellings, across a period on the order of two to three hundred human generations.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method's specific strength lies in its falsifiability. For each of the twenty-one sites, the calculated minimum water depth generates a testable prediction </w:t>
      </w:r>
      <w:r>
        <w:rPr>
          <w:rFonts w:ascii="Verdana" w:hAnsi="Verdana" w:hint="default"/>
          <w:rtl w:val="0"/>
          <w:lang w:val="en-US"/>
        </w:rPr>
        <w:t xml:space="preserve">— </w:t>
      </w:r>
      <w:r>
        <w:rPr>
          <w:rFonts w:ascii="Verdana" w:hAnsi="Verdana"/>
          <w:rtl w:val="0"/>
          <w:lang w:val="en-US"/>
        </w:rPr>
        <w:t xml:space="preserve">a specific range of years before present during which the coastline described in the story must have existed </w:t>
      </w:r>
      <w:r>
        <w:rPr>
          <w:rFonts w:ascii="Verdana" w:hAnsi="Verdana" w:hint="default"/>
          <w:rtl w:val="0"/>
          <w:lang w:val="en-US"/>
        </w:rPr>
        <w:t xml:space="preserve">— </w:t>
      </w:r>
      <w:r>
        <w:rPr>
          <w:rFonts w:ascii="Verdana" w:hAnsi="Verdana"/>
          <w:rtl w:val="0"/>
          <w:lang w:val="en-US"/>
        </w:rPr>
        <w:t>and that prediction is checked against a sea-level curve built entirely independently, from marine and coastal geological evidence with no input from oral-tradition research at all. A story whose calculated depth fell outside the range the geological curve allows for any plausible period would falsify the claim that the story encodes real postglacial information, for that specific site. That the twenty-one independently collected cases converge on dates consistent with the geological curve, rather than scattering randomly across it, is the paper's central empirical result, and it is a result a purely qualitative or interpretive reading of the same stories could not have generated.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4.2 The Brythonic Comparative Case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Nunn and Cunliffe (2019) extended a structurally similar analysis to Brythonic (Celtic and Breton) traditions in northwest Europe, associating certain giant-themed legends with real geological features and events, and explicitly proposed that Australian Aboriginal cultures and Brythonic cultures shared a relevant structural condition: both were, for much of the last ten millennia, positioned at the margins of large-scale outside contact, a condition the authors argue was favorable to the preservation of ancient stories in intelligible form because it reduced the disruptive pressure of new populations and competing narratives on an existing transmission channel.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4.3 Convergence with the Author's Published P7 Finding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last point connects directly, and the author suggests non-trivially, to a finding already published in the peer-reviewed DSSM literature. Vondoom (2026e) found, independently and through an entirely different line of reasoning </w:t>
      </w:r>
      <w:r>
        <w:rPr>
          <w:rFonts w:ascii="Verdana" w:hAnsi="Verdana" w:hint="default"/>
          <w:rtl w:val="0"/>
          <w:lang w:val="en-US"/>
        </w:rPr>
        <w:t xml:space="preserve">— </w:t>
      </w:r>
      <w:r>
        <w:rPr>
          <w:rFonts w:ascii="Verdana" w:hAnsi="Verdana"/>
          <w:rtl w:val="0"/>
          <w:lang w:val="en-US"/>
        </w:rPr>
        <w:t xml:space="preserve">Dunbar's social brain hypothesis combined with the Transmission Fidelity Model </w:t>
      </w:r>
      <w:r>
        <w:rPr>
          <w:rFonts w:ascii="Verdana" w:hAnsi="Verdana" w:hint="default"/>
          <w:rtl w:val="0"/>
          <w:lang w:val="en-US"/>
        </w:rPr>
        <w:t xml:space="preserve">— </w:t>
      </w:r>
      <w:r>
        <w:rPr>
          <w:rFonts w:ascii="Verdana" w:hAnsi="Verdana"/>
          <w:rtl w:val="0"/>
          <w:lang w:val="en-US"/>
        </w:rPr>
        <w:t>that Aboriginal Australian communities maintained effective band sizes well below the roughly 500-individual threshold at which DSSM predicts externalization pressure begins, and that this smallness allowed high-fidelity symbolic transmission to continue through embodied, oral, and ceremonial means without requiring the development of standardized portable media.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It is important to be precise about what Nunn and Reid's (2016) result does and does not establish in relation to that claim, because overstating it would weaken rather than strengthen the argument. Nunn and Reid did not test community size, did not reference any externalization threshold, and did not set out to confirm or falsify anything resembling the Transmission Fidelity Model; their finding is a demonstration that Australian oral tradition in fact achieved multi-millennial fidelity on a specific, checkable class of information. What their result provides is evidence consistent with the DSSM prediction </w:t>
      </w:r>
      <w:r>
        <w:rPr>
          <w:rFonts w:ascii="Verdana" w:hAnsi="Verdana" w:hint="default"/>
          <w:rtl w:val="0"/>
          <w:lang w:val="en-US"/>
        </w:rPr>
        <w:t xml:space="preserve">— </w:t>
      </w:r>
      <w:r>
        <w:rPr>
          <w:rFonts w:ascii="Verdana" w:hAnsi="Verdana"/>
          <w:rtl w:val="0"/>
          <w:lang w:val="en-US"/>
        </w:rPr>
        <w:t xml:space="preserve">a small, low-contact population achieving exactly the kind of high-fidelity retention the Transmission Fidelity Model says should be possible below the externalization threshold </w:t>
      </w:r>
      <w:r>
        <w:rPr>
          <w:rFonts w:ascii="Verdana" w:hAnsi="Verdana" w:hint="default"/>
          <w:rtl w:val="0"/>
          <w:lang w:val="en-US"/>
        </w:rPr>
        <w:t xml:space="preserve">— </w:t>
      </w:r>
      <w:r>
        <w:rPr>
          <w:rFonts w:ascii="Verdana" w:hAnsi="Verdana"/>
          <w:rtl w:val="0"/>
          <w:lang w:val="en-US"/>
        </w:rPr>
        <w:t>not an independent test of the threshold mechanism itself, since no alternative community-size condition was examined for comparison. The convergence is real and worth reporting: two literatures, developed independently and for unrelated reasons, arrived at compatible pictures of the same population's transmission capacity. But it is a convergence of outcome, not a replication of mechanism, and Prediction P1 in Section 11 is framed accordingly, as the test this paper's own evidence has not yet performed.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4.4 Interpretive Caution in Geomythology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evidence should not be overstated. The broader research tradition to which Nunn and Reid's work belongs </w:t>
      </w:r>
      <w:r>
        <w:rPr>
          <w:rFonts w:ascii="Verdana" w:hAnsi="Verdana" w:hint="default"/>
          <w:rtl w:val="0"/>
          <w:lang w:val="en-US"/>
        </w:rPr>
        <w:t xml:space="preserve">— </w:t>
      </w:r>
      <w:r>
        <w:rPr>
          <w:rFonts w:ascii="Verdana" w:hAnsi="Verdana"/>
          <w:rtl w:val="0"/>
          <w:lang w:val="en-US"/>
        </w:rPr>
        <w:t xml:space="preserve">sometimes termed geomythology </w:t>
      </w:r>
      <w:r>
        <w:rPr>
          <w:rFonts w:ascii="Verdana" w:hAnsi="Verdana" w:hint="default"/>
          <w:rtl w:val="0"/>
          <w:lang w:val="en-US"/>
        </w:rPr>
        <w:t xml:space="preserve">— </w:t>
      </w:r>
      <w:r>
        <w:rPr>
          <w:rFonts w:ascii="Verdana" w:hAnsi="Verdana"/>
          <w:rtl w:val="0"/>
          <w:lang w:val="en-US"/>
        </w:rPr>
        <w:t>requires interpreting stories told in a different language, by people of a different culture, across an unknown number of intermediate retellings, which necessarily involves informed inference rather than direct proof for any single story taken in isolation. The strength of the Nunn and Reid (2016) methodology specifically is that it does not rely on any single story but on convergence across twenty-one independently collected cases against a single, externally validated dating framework; the strength of the argument in this paper rests on that aggregate convergence, not on the certainty of any individual narrative.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4.5 Why Isolation, Specifically, Preserves Fidelity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It is worth being precise about why marginal position and low outside contact function as preservation conditions rather than treating the claim as a loose correlation. In DSSM's terms, symbolic drift </w:t>
      </w:r>
      <w:r>
        <w:rPr>
          <w:rFonts w:ascii="Verdana" w:hAnsi="Verdana" w:hint="default"/>
          <w:rtl w:val="0"/>
          <w:lang w:val="en-US"/>
        </w:rPr>
        <w:t xml:space="preserve">— </w:t>
      </w:r>
      <w:r>
        <w:rPr>
          <w:rFonts w:ascii="Verdana" w:hAnsi="Verdana"/>
          <w:rtl w:val="0"/>
          <w:lang w:val="en-US"/>
        </w:rPr>
        <w:t xml:space="preserve">the gradual divergence of a system's content as it passes through additional transmission events </w:t>
      </w:r>
      <w:r>
        <w:rPr>
          <w:rFonts w:ascii="Verdana" w:hAnsi="Verdana" w:hint="default"/>
          <w:rtl w:val="0"/>
          <w:lang w:val="en-US"/>
        </w:rPr>
        <w:t xml:space="preserve">— </w:t>
      </w:r>
      <w:r>
        <w:rPr>
          <w:rFonts w:ascii="Verdana" w:hAnsi="Verdana"/>
          <w:rtl w:val="0"/>
          <w:lang w:val="en-US"/>
        </w:rPr>
        <w:t xml:space="preserve">accumulates as a function of the number and diversity of the communities a story or practice passes through, not simply as a function of elapsed time. A story retold within a small, stable, low-contact population is subject to periodic aggregation-based resynchronization, in which the community's shared occasions for retelling correct accumulated drift against a common reference (Vondoom, 2026e, Section 2.7, citing Henrich, 2015). A story that instead passes through many distinct populations, each with its own retelling conventions and competing narrative material, accumulates drift at each boundary crossing, independent of the total time elapsed. This is why Nunn and Cunliffe (2019) single out marginal position, rather than simple antiquity, as the preserving condition for both the Australian and Brythonic material, and it is a direct, independently derived confirmation of the same variable </w:t>
      </w:r>
      <w:r>
        <w:rPr>
          <w:rFonts w:ascii="Verdana" w:hAnsi="Verdana" w:hint="default"/>
          <w:rtl w:val="0"/>
          <w:lang w:val="en-US"/>
        </w:rPr>
        <w:t xml:space="preserve">— </w:t>
      </w:r>
      <w:r>
        <w:rPr>
          <w:rFonts w:ascii="Verdana" w:hAnsi="Verdana"/>
          <w:rtl w:val="0"/>
          <w:lang w:val="en-US"/>
        </w:rPr>
        <w:t xml:space="preserve">transmission-channel exposure, not raw duration </w:t>
      </w:r>
      <w:r>
        <w:rPr>
          <w:rFonts w:ascii="Verdana" w:hAnsi="Verdana" w:hint="default"/>
          <w:rtl w:val="0"/>
          <w:lang w:val="en-US"/>
        </w:rPr>
        <w:t xml:space="preserve">— </w:t>
      </w:r>
      <w:r>
        <w:rPr>
          <w:rFonts w:ascii="Verdana" w:hAnsi="Verdana"/>
          <w:rtl w:val="0"/>
          <w:lang w:val="en-US"/>
        </w:rPr>
        <w:t>that the Transmission Fidelity Model already identifies as the operative variable in DSSM's account of Stage 3 threshold-crossing (Vondoom, 2026e).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5. Mechanism: How Transmission Fidelity Was Maintained Before Externalization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5.1 Vertical and Horizontal Transmission in the Lithic Record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How, mechanically, did fidelity of this order become possible at all? Recent lithic-technology research offers a direct answer. A 2026 study of the Shualim Rockshelter site in the Negev highlands of southern Israel, spanning Initial and Early Upper Paleolithic occupation layers dated between roughly 47,000 and 36,000 years before present, documents technical markers that emerge through repeated practice and intergenerational transmission, becoming routinized and executed almost automatically, leaving characteristic technical imprints in the archaeological record (Edeltin et al., 2026). The study distinguishes vertical transmission </w:t>
      </w:r>
      <w:r>
        <w:rPr>
          <w:rFonts w:ascii="Verdana" w:hAnsi="Verdana" w:hint="default"/>
          <w:rtl w:val="0"/>
          <w:lang w:val="en-US"/>
        </w:rPr>
        <w:t xml:space="preserve">— </w:t>
      </w:r>
      <w:r>
        <w:rPr>
          <w:rFonts w:ascii="Verdana" w:hAnsi="Verdana"/>
          <w:rtl w:val="0"/>
          <w:lang w:val="en-US"/>
        </w:rPr>
        <w:t xml:space="preserve">knowledge passed within a group by a close, more experienced relative </w:t>
      </w:r>
      <w:r>
        <w:rPr>
          <w:rFonts w:ascii="Verdana" w:hAnsi="Verdana" w:hint="default"/>
          <w:rtl w:val="0"/>
          <w:lang w:val="en-US"/>
        </w:rPr>
        <w:t xml:space="preserve">— </w:t>
      </w:r>
      <w:r>
        <w:rPr>
          <w:rFonts w:ascii="Verdana" w:hAnsi="Verdana"/>
          <w:rtl w:val="0"/>
          <w:lang w:val="en-US"/>
        </w:rPr>
        <w:t xml:space="preserve">from horizontal transmission, in which knowledge moves between members of different groups, and finds evidence in the Shualim assemblage for a large mobility range and sustained intergroup interactions between Negev foragers and communities hundreds of kilometers away in Mediterranean woodland zones, alongside imported raw materials shaped elsewhere and carried to the site as finished objects. This is a documented, dated case of both transmission channels </w:t>
      </w:r>
      <w:r>
        <w:rPr>
          <w:rFonts w:ascii="Verdana" w:hAnsi="Verdana" w:hint="default"/>
          <w:rtl w:val="0"/>
          <w:lang w:val="en-US"/>
        </w:rPr>
        <w:t xml:space="preserve">— </w:t>
      </w:r>
      <w:r>
        <w:rPr>
          <w:rFonts w:ascii="Verdana" w:hAnsi="Verdana"/>
          <w:rtl w:val="0"/>
          <w:lang w:val="en-US"/>
        </w:rPr>
        <w:t xml:space="preserve">the intergenerational and the inter-group </w:t>
      </w:r>
      <w:r>
        <w:rPr>
          <w:rFonts w:ascii="Verdana" w:hAnsi="Verdana" w:hint="default"/>
          <w:rtl w:val="0"/>
          <w:lang w:val="en-US"/>
        </w:rPr>
        <w:t xml:space="preserve">— </w:t>
      </w:r>
      <w:r>
        <w:rPr>
          <w:rFonts w:ascii="Verdana" w:hAnsi="Verdana"/>
          <w:rtl w:val="0"/>
          <w:lang w:val="en-US"/>
        </w:rPr>
        <w:t>operating simultaneously tens of thousands of years before any writing system existed, which is exactly the transmission substrate DSSM's Stage 1 and Stage 2 mechanisms describe.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Shualim evidence also bears directly on the community-size logic developed in Section 2.4. A large mobility range and sustained intergroup interaction across hundreds of kilometers implies contact between multiple distinct co-residential bands, each individually well below any Stage 3 externalization threshold, exchanging both objects and technical knowledge without needing to develop standardized portable media of the kind Stage 3 requires. This is consistent with, rather than a counterexample to, the Transmission Fidelity Model: exchange between small groups functions as another form of periodic resynchronization </w:t>
      </w:r>
      <w:r>
        <w:rPr>
          <w:rFonts w:ascii="Verdana" w:hAnsi="Verdana" w:hint="default"/>
          <w:rtl w:val="0"/>
          <w:lang w:val="en-US"/>
        </w:rPr>
        <w:t xml:space="preserve">— </w:t>
      </w:r>
      <w:r>
        <w:rPr>
          <w:rFonts w:ascii="Verdana" w:hAnsi="Verdana"/>
          <w:rtl w:val="0"/>
          <w:lang w:val="en-US"/>
        </w:rPr>
        <w:t xml:space="preserve">structurally similar to the aggregation events discussed below </w:t>
      </w:r>
      <w:r>
        <w:rPr>
          <w:rFonts w:ascii="Verdana" w:hAnsi="Verdana" w:hint="default"/>
          <w:rtl w:val="0"/>
          <w:lang w:val="en-US"/>
        </w:rPr>
        <w:t xml:space="preserve">— </w:t>
      </w:r>
      <w:r>
        <w:rPr>
          <w:rFonts w:ascii="Verdana" w:hAnsi="Verdana"/>
          <w:rtl w:val="0"/>
          <w:lang w:val="en-US"/>
        </w:rPr>
        <w:t>rather than as evidence that large-scale contact alone is sufficient to force externalization. What forces externalization, on DSSM's account, is not contact or mobility as such but the specific failure of face-to-face and small-network transmission to keep pace with an accumulating information load, and the Shualim case documents extensive contact occurring for tens of thousands of years without that failure being forced.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5.2 Aggregation, Resynchronization, and the Threshold to Stage 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mechanism that allows this kind of fidelity to hold at modest community scale, and that explains why it eventually breaks down at larger scale, is periodic aggregation. Ethnographic and archaeological evidence reviewed in the author's peer-reviewed work indicates that communities of roughly 150 to 500 individuals maintain symbolic coherence through periodic aggregation events </w:t>
      </w:r>
      <w:r>
        <w:rPr>
          <w:rFonts w:ascii="Verdana" w:hAnsi="Verdana" w:hint="default"/>
          <w:rtl w:val="0"/>
          <w:lang w:val="en-US"/>
        </w:rPr>
        <w:t xml:space="preserve">— </w:t>
      </w:r>
      <w:r>
        <w:rPr>
          <w:rFonts w:ascii="Verdana" w:hAnsi="Verdana"/>
          <w:rtl w:val="0"/>
          <w:lang w:val="en-US"/>
        </w:rPr>
        <w:t xml:space="preserve">ceremonies, seasonal gatherings </w:t>
      </w:r>
      <w:r>
        <w:rPr>
          <w:rFonts w:ascii="Verdana" w:hAnsi="Verdana" w:hint="default"/>
          <w:rtl w:val="0"/>
          <w:lang w:val="en-US"/>
        </w:rPr>
        <w:t xml:space="preserve">— </w:t>
      </w:r>
      <w:r>
        <w:rPr>
          <w:rFonts w:ascii="Verdana" w:hAnsi="Verdana"/>
          <w:rtl w:val="0"/>
          <w:lang w:val="en-US"/>
        </w:rPr>
        <w:t xml:space="preserve">that function as error-correction mechanisms, resynchronizing symbolic conventions across sub-groups between meetings (Vondoom, 2026e, citing Henrich, 2015, and Hamilton et al., 2007). Communities that consistently exceed this range cannot sustain full aggregation-based resynchronization, and sub-groups that fail to aggregate for extended periods begin exhibiting measurable symbolic drift </w:t>
      </w:r>
      <w:r>
        <w:rPr>
          <w:rFonts w:ascii="Verdana" w:hAnsi="Verdana" w:hint="default"/>
          <w:rtl w:val="0"/>
          <w:lang w:val="en-US"/>
        </w:rPr>
        <w:t xml:space="preserve">— </w:t>
      </w:r>
      <w:r>
        <w:rPr>
          <w:rFonts w:ascii="Verdana" w:hAnsi="Verdana"/>
          <w:rtl w:val="0"/>
          <w:lang w:val="en-US"/>
        </w:rPr>
        <w:t>the precise pressure that DSSM proposes forces the transition into Stage 3 material amplification. This is the mechanism, tested against the Egyptian archaeological sequence in the author's peer-reviewed work, that Section 6 argues is now visible again, independently redescribed, in the architecture of large-scale artificial intelligence systems.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6. The Structural Parallel in Current Artificial Intelligence Research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claim that artificial intelligence externalizes cognition is not this paper's invention. It is a claim already being made, independently of any archaeological framing, within the technical AI-systems literature itself, using vocabulary that maps with unusual directness onto DSSM's own terms.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It is worth being clear about what kind of evidence the six sources below constitute before presenting them. They are not being cited because they discuss archaeology, prehistory, or DSSM </w:t>
      </w:r>
      <w:r>
        <w:rPr>
          <w:rFonts w:ascii="Verdana" w:hAnsi="Verdana" w:hint="default"/>
          <w:rtl w:val="0"/>
          <w:lang w:val="en-US"/>
        </w:rPr>
        <w:t xml:space="preserve">— </w:t>
      </w:r>
      <w:r>
        <w:rPr>
          <w:rFonts w:ascii="Verdana" w:hAnsi="Verdana"/>
          <w:rtl w:val="0"/>
          <w:lang w:val="en-US"/>
        </w:rPr>
        <w:t xml:space="preserve">none of them do. They are being cited because, writing from within AI systems engineering, cognitive neuroscience, and philosophy of mind, and addressing an entirely contemporary and forward-looking set of technical problems, their authors independently reached for a small, specific vocabulary set </w:t>
      </w:r>
      <w:r>
        <w:rPr>
          <w:rFonts w:ascii="Verdana" w:hAnsi="Verdana" w:hint="default"/>
          <w:rtl w:val="0"/>
          <w:lang w:val="en-US"/>
        </w:rPr>
        <w:t xml:space="preserve">— </w:t>
      </w:r>
      <w:r>
        <w:rPr>
          <w:rFonts w:ascii="Verdana" w:hAnsi="Verdana"/>
          <w:rtl w:val="0"/>
          <w:lang w:val="en-US"/>
        </w:rPr>
        <w:t xml:space="preserve">externalization, offloading, extended cognition, memory as infrastructure </w:t>
      </w:r>
      <w:r>
        <w:rPr>
          <w:rFonts w:ascii="Verdana" w:hAnsi="Verdana" w:hint="default"/>
          <w:rtl w:val="0"/>
          <w:lang w:val="en-US"/>
        </w:rPr>
        <w:t xml:space="preserve">— </w:t>
      </w:r>
      <w:r>
        <w:rPr>
          <w:rFonts w:ascii="Verdana" w:hAnsi="Verdana"/>
          <w:rtl w:val="0"/>
          <w:lang w:val="en-US"/>
        </w:rPr>
        <w:t>to describe what they were building or studying. The argument this section makes is not that these authors agree with DSSM. It is that the vocabulary itself, arrived at independently and for entirely different reasons, is the same vocabulary, which is a different and in some ways stronger form of evidence than a single author noticing a resemblance.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6.1 Externalization as a Named Architecture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2026 review of large language model agent architecture argues explicitly that capabilities earlier systems expected a model to recover internally are now being reorganized around the model rather than built into it </w:t>
      </w:r>
      <w:r>
        <w:rPr>
          <w:rFonts w:ascii="Verdana" w:hAnsi="Verdana" w:hint="default"/>
          <w:rtl w:val="0"/>
          <w:lang w:val="en-US"/>
        </w:rPr>
        <w:t xml:space="preserve">— </w:t>
      </w:r>
      <w:r>
        <w:rPr>
          <w:rFonts w:ascii="Verdana" w:hAnsi="Verdana"/>
          <w:rtl w:val="0"/>
          <w:lang w:val="en-US"/>
        </w:rPr>
        <w:t xml:space="preserve">externalized into memory stores, reusable skills, interaction protocols, and the surrounding infrastructure that supports the model at runtime </w:t>
      </w:r>
      <w:r>
        <w:rPr>
          <w:rFonts w:ascii="Verdana" w:hAnsi="Verdana" w:hint="default"/>
          <w:rtl w:val="0"/>
          <w:lang w:val="en-US"/>
        </w:rPr>
        <w:t xml:space="preserve">— </w:t>
      </w:r>
      <w:r>
        <w:rPr>
          <w:rFonts w:ascii="Verdana" w:hAnsi="Verdana"/>
          <w:rtl w:val="0"/>
          <w:lang w:val="en-US"/>
        </w:rPr>
        <w:t>and frames this shift through the concept of cognitive artifacts, arguing that this infrastructure matters not because it adds auxiliary components but because it transforms cognitive burdens the model could not solve reliably on its own into forms it can solve reliably (Zhou et al., 2026).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6.2 Memory as Infrastructure: The Operating-System Framing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A separate 2025 technical paper, MemOS, proposes treating memory explicitly as a manageable operating-system-level resource for large language models. The authors argue that introducing an explicit memory layer between a model's internal parameters and external retrieval can substantially reduce computational cost while allowing the system to manage knowledge distributed across different timescales and sources, and note specifically that retrieval-augmented generation on its own remains a stateless workaround without lifecycle control or integration with persistent representations (Li et al., 2025). The move from treating memory as an ad hoc add-on to treating it as managed infrastructure is, in DSSM's own vocabulary, a Stage 3-to-Stage 4 transition: material amplification giving way to institutionalized, systematized offloading.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6.3 Extended Cognition, Reopened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philosophical literature this paper draws on in Section 2.3 is being reopened by AI researchers directly. A 2026 preprint proposing a framework termed Gradual Cognitive Externalization builds explicitly on extended mind theory, citing both the original Clark and Chalmers (1998) formulation and a 2025 restatement by Clark, and argues that ambient AI systems already learn planning patterns, communication styles, and knowledge organization from sustained interaction with users in a way that moves beyond treating the AI as an external model and toward treating it as a cognitive component (Chen et al., 2026). A related 2025 paper applies extended cognition explicitly to corporate and agentic AI infrastructure, arguing that current systems integrating dense retrieval, generative reasoning, and tool use have moved beyond the static, reliable retrieval that early extended-mind theorizing assumed, requiring the theory itself to be updated for the current generation of AI-integrated information systems (Operationalising Extended Cognition, 2025).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6.4 Episodic Memory as a Comparative Benchmark</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further point of convergence, more technical and arguably more precise than the general extended-cognition literature, comes from research explicitly comparing AI external memory systems to human episodic memory as studied in cognitive neuroscience. A 2025 review of memory-augmented large language models found that external memory in these systems is aligned with human episodic memory in several specific ways: storage is effectively unbounded and latent, a single exposure can be sufficient for storage, and stored episodic-style memories are blended with more general semantic knowledge to generate predictions </w:t>
      </w:r>
      <w:r>
        <w:rPr>
          <w:rFonts w:ascii="Verdana" w:hAnsi="Verdana" w:hint="default"/>
          <w:rtl w:val="0"/>
          <w:lang w:val="en-US"/>
        </w:rPr>
        <w:t xml:space="preserve">— </w:t>
      </w:r>
      <w:r>
        <w:rPr>
          <w:rFonts w:ascii="Verdana" w:hAnsi="Verdana"/>
          <w:rtl w:val="0"/>
          <w:lang w:val="en-US"/>
        </w:rPr>
        <w:t xml:space="preserve">properties the review evaluates directly against the cognitive-neuroscience literature on how human episodic memory supports understanding of real-world events (Towards Large Language Models with Human-Like Episodic Memory, 2025). This is a case of AI-systems researchers reaching, independently, for the same comparison this paper is making </w:t>
      </w:r>
      <w:r>
        <w:rPr>
          <w:rFonts w:ascii="Verdana" w:hAnsi="Verdana" w:hint="default"/>
          <w:rtl w:val="0"/>
          <w:lang w:val="en-US"/>
        </w:rPr>
        <w:t xml:space="preserve">— </w:t>
      </w:r>
      <w:r>
        <w:rPr>
          <w:rFonts w:ascii="Verdana" w:hAnsi="Verdana"/>
          <w:rtl w:val="0"/>
          <w:lang w:val="en-US"/>
        </w:rPr>
        <w:t>not to archaeology, but to the human cognitive architecture that DSSM's Stage 1 neural mechanisms (hippocampal and basal ganglia consolidation) already describe.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6.5 External Memory as a Named Design Principle in Foundational AI Research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2025 survey of large language models in relation to artificial general intelligence treats external memory not as an incidental engineering choice but as a foundational design principle with a direct human precedent. The survey observes that one of the key advantages humans have over other animals is the ability to use external knowledge resources and tools to augment or extend their competences </w:t>
      </w:r>
      <w:r>
        <w:rPr>
          <w:rFonts w:ascii="Verdana" w:hAnsi="Verdana" w:hint="default"/>
          <w:rtl w:val="0"/>
          <w:lang w:val="en-US"/>
        </w:rPr>
        <w:t xml:space="preserve">— </w:t>
      </w:r>
      <w:r>
        <w:rPr>
          <w:rFonts w:ascii="Verdana" w:hAnsi="Verdana"/>
          <w:rtl w:val="0"/>
          <w:lang w:val="en-US"/>
        </w:rPr>
        <w:t xml:space="preserve">reading manuals, books, or browsing the internet </w:t>
      </w:r>
      <w:r>
        <w:rPr>
          <w:rFonts w:ascii="Verdana" w:hAnsi="Verdana" w:hint="default"/>
          <w:rtl w:val="0"/>
          <w:lang w:val="en-US"/>
        </w:rPr>
        <w:t xml:space="preserve">— </w:t>
      </w:r>
      <w:r>
        <w:rPr>
          <w:rFonts w:ascii="Verdana" w:hAnsi="Verdana"/>
          <w:rtl w:val="0"/>
          <w:lang w:val="en-US"/>
        </w:rPr>
        <w:t xml:space="preserve">which alleviates the need to store all necessary knowledge internally, and argues that retrieval-augmented generation methods extend this same principle to language models, allowing them to query external knowledge bases when required knowledge is not found internally, store large volumes of knowledge for long time spans independent of any single model's internal capacity, and exploit rich, diverse, already-available knowledge resources rather than rebuilding them from scratch (Large Language Models for Artificial General Intelligence, 2025). The survey names the same trade-off DSSM's own Stage 3 threshold logic anticipates: external information offers scale and cost advantages precisely because it does not depend on individual capacity, but it introduces the risk of errors, inconsistency, incomplete information, and outright loss of access should the external resource itself become unavailable </w:t>
      </w:r>
      <w:r>
        <w:rPr>
          <w:rFonts w:ascii="Verdana" w:hAnsi="Verdana" w:hint="default"/>
          <w:rtl w:val="0"/>
          <w:lang w:val="en-US"/>
        </w:rPr>
        <w:t xml:space="preserve">— </w:t>
      </w:r>
      <w:r>
        <w:rPr>
          <w:rFonts w:ascii="Verdana" w:hAnsi="Verdana"/>
          <w:rtl w:val="0"/>
          <w:lang w:val="en-US"/>
        </w:rPr>
        <w:t>an early, if underdeveloped, acknowledgment within the technical literature itself of the persistence question this paper raises in Sections 8.4 and 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None of the six sources surveyed in this section cite DSSM, cite archaeology, or appear aware of one another's disciplinary distance from cognitive archaeology. That is the point of assembling them here. Independent literatures </w:t>
      </w:r>
      <w:r>
        <w:rPr>
          <w:rFonts w:ascii="Verdana" w:hAnsi="Verdana" w:hint="default"/>
          <w:rtl w:val="0"/>
          <w:lang w:val="en-US"/>
        </w:rPr>
        <w:t xml:space="preserve">— </w:t>
      </w:r>
      <w:r>
        <w:rPr>
          <w:rFonts w:ascii="Verdana" w:hAnsi="Verdana"/>
          <w:rtl w:val="0"/>
          <w:lang w:val="en-US"/>
        </w:rPr>
        <w:t xml:space="preserve">AI systems engineering, philosophy of mind, and cognitive neuroscience </w:t>
      </w:r>
      <w:r>
        <w:rPr>
          <w:rFonts w:ascii="Verdana" w:hAnsi="Verdana" w:hint="default"/>
          <w:rtl w:val="0"/>
          <w:lang w:val="en-US"/>
        </w:rPr>
        <w:t xml:space="preserve">— </w:t>
      </w:r>
      <w:r>
        <w:rPr>
          <w:rFonts w:ascii="Verdana" w:hAnsi="Verdana"/>
          <w:rtl w:val="0"/>
          <w:lang w:val="en-US"/>
        </w:rPr>
        <w:t>have converged, without coordination, on describing large language model architecture using externalization and offloading vocabulary that DSSM already uses to describe Stage 3 and Stage 4 of human symbolic history. A single author asserting an analogy is a claim. Multiple independent technical literatures arriving at the same descriptive vocabulary for the same underlying phenomenon is evidence that the phenomenon, and not merely the metaphor, is shared.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skeptical reading of the previous paragraph deserves a direct answer rather than a rhetorical one. Clark and Chalmers's (1998) extended mind thesis has been widely cited and broadly influential across cognitive science for over two decades, and by 2025 it functions as close to standard vocabulary for anyone writing about AI systems and cognition. On that reading, the six sources in this section converging on externalization language is unsurprising for the mundane reason that it is now the field's default terminology, not evidence of anything deeper. This objection has real force and should not be waved away. Two considerations weigh against it, without fully resolving it. First, the convergence this paper reports is not simply that these papers use the word extended or externalization </w:t>
      </w:r>
      <w:r>
        <w:rPr>
          <w:rFonts w:ascii="Verdana" w:hAnsi="Verdana" w:hint="default"/>
          <w:rtl w:val="0"/>
          <w:lang w:val="en-US"/>
        </w:rPr>
        <w:t xml:space="preserve">— </w:t>
      </w:r>
      <w:r>
        <w:rPr>
          <w:rFonts w:ascii="Verdana" w:hAnsi="Verdana"/>
          <w:rtl w:val="0"/>
          <w:lang w:val="en-US"/>
        </w:rPr>
        <w:t xml:space="preserve">it is that several of them independently arrive at the specific architectural claims DSSM's Stage 3 and Stage 4 make: that memory should be treated as infrastructure rather than an internal property (Section 6.2), and that external storage introduces a persistence risk absent from internal storage (Section 6.5) </w:t>
      </w:r>
      <w:r>
        <w:rPr>
          <w:rFonts w:ascii="Verdana" w:hAnsi="Verdana" w:hint="default"/>
          <w:rtl w:val="0"/>
          <w:lang w:val="en-US"/>
        </w:rPr>
        <w:t xml:space="preserve">— </w:t>
      </w:r>
      <w:r>
        <w:rPr>
          <w:rFonts w:ascii="Verdana" w:hAnsi="Verdana"/>
          <w:rtl w:val="0"/>
          <w:lang w:val="en-US"/>
        </w:rPr>
        <w:t>claims that go beyond simply reusing a popular term. Second, and more modestly, even if the shared vocabulary is partly attributable to Clark and Chalmers's influence rather than to a fully independent rediscovery, that influence itself is evidence for this paper's underlying point: a framework built to describe externalization in embodied, pre-digital contexts has proven directly applicable, without modification, to computational systems its authors never anticipated, which is itself consistent with externalization being a substrate-independent mechanism rather than one specific to biological cognition. The convergence argument in this section is accordingly best read as suggestive corroboration rather than decisive proof, and the reader should weigh it with that caveat rather than as a knockdown case.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7. Addressing an Objection: Is This Anthropomorphizing Artificial Intelligence?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A natural objection to the argument so far is that it risks smuggling in an unwarranted claim about artificial intelligence's inner life by describing its architecture in the same vocabulary used for human memory and cognition. This objection deserves a direct answer rather than a defensive one, because the answer clarifies exactly what this paper is and is not claiming.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argument made in Sections 2 through 6 is architectural and functional, not phenomenological. Extended cognition, as Clark and Chalmers (1998) originally formulated it and as the 2025</w:t>
      </w:r>
      <w:r>
        <w:rPr>
          <w:rFonts w:ascii="Verdana" w:hAnsi="Verdana" w:hint="default"/>
          <w:rtl w:val="0"/>
        </w:rPr>
        <w:t>–</w:t>
      </w:r>
      <w:r>
        <w:rPr>
          <w:rFonts w:ascii="Verdana" w:hAnsi="Verdana"/>
          <w:rtl w:val="0"/>
          <w:lang w:val="en-US"/>
        </w:rPr>
        <w:t xml:space="preserve">2026 AI literature surveyed in Section 6 has independently re-applied it, is a claim about where a cognitive process is functionally located and how information flows through a system </w:t>
      </w:r>
      <w:r>
        <w:rPr>
          <w:rFonts w:ascii="Verdana" w:hAnsi="Verdana" w:hint="default"/>
          <w:rtl w:val="0"/>
          <w:lang w:val="en-US"/>
        </w:rPr>
        <w:t xml:space="preserve">— </w:t>
      </w:r>
      <w:r>
        <w:rPr>
          <w:rFonts w:ascii="Verdana" w:hAnsi="Verdana"/>
          <w:rtl w:val="0"/>
          <w:lang w:val="en-US"/>
        </w:rPr>
        <w:t xml:space="preserve">not a claim about subjective experience, sentience, or inner life on either side of the comparison. Hutchins's (1995) navigation crew does not require any individual crew member, or the ship's instruments, to have an inner life for the claim that the navigational task is genuinely distributed across the crew-instrument-ship system to hold. The same logic applies here: this paper claims that specific architectural patterns </w:t>
      </w:r>
      <w:r>
        <w:rPr>
          <w:rFonts w:ascii="Verdana" w:hAnsi="Verdana" w:hint="default"/>
          <w:rtl w:val="0"/>
          <w:lang w:val="en-US"/>
        </w:rPr>
        <w:t xml:space="preserve">— </w:t>
      </w:r>
      <w:r>
        <w:rPr>
          <w:rFonts w:ascii="Verdana" w:hAnsi="Verdana"/>
          <w:rtl w:val="0"/>
          <w:lang w:val="en-US"/>
        </w:rPr>
        <w:t xml:space="preserve">externalization of information storage, offloading of retrieval and coordination functions to a substrate outside any single component </w:t>
      </w:r>
      <w:r>
        <w:rPr>
          <w:rFonts w:ascii="Verdana" w:hAnsi="Verdana" w:hint="default"/>
          <w:rtl w:val="0"/>
          <w:lang w:val="en-US"/>
        </w:rPr>
        <w:t xml:space="preserve">— </w:t>
      </w:r>
      <w:r>
        <w:rPr>
          <w:rFonts w:ascii="Verdana" w:hAnsi="Verdana"/>
          <w:rtl w:val="0"/>
          <w:lang w:val="en-US"/>
        </w:rPr>
        <w:t>recur across the human archaeological record and current AI systems design. It does not claim, and does not need to claim, that an AI system's internal states resemble a human's in order for that architectural claim to hold, any more than DSSM's claim that a monument externalizes memory requires the monument itself to remember anything.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If anything, the criterion-by-criterion evaluation in Section 8 below works against an inflated reading of the comparison rather than for one: by refusing to force Criterion 2 (spatial constraint) to fit and by treating Criterion 4 (persistence under stress) as unresolved and possibly structurally different in kind, this paper is deliberately withholding the stronger, more totalizing version of the AI-continuity claim that a less careful treatment might have offered. The comparison this paper defends is narrower and more mechanical than </w:t>
      </w:r>
      <w:r>
        <w:rPr>
          <w:rFonts w:ascii="Verdana" w:hAnsi="Verdana" w:hint="default"/>
          <w:rtl w:val="1"/>
          <w:lang w:val="ar-SA" w:bidi="ar-SA"/>
        </w:rPr>
        <w:t>“</w:t>
      </w:r>
      <w:r>
        <w:rPr>
          <w:rFonts w:ascii="Verdana" w:hAnsi="Verdana"/>
          <w:rtl w:val="0"/>
          <w:lang w:val="en-US"/>
        </w:rPr>
        <w:t>AI thinks like ancient humans did</w:t>
      </w:r>
      <w:r>
        <w:rPr>
          <w:rFonts w:ascii="Verdana" w:hAnsi="Verdana" w:hint="default"/>
          <w:rtl w:val="0"/>
        </w:rPr>
        <w:t>”</w:t>
      </w:r>
      <w:r>
        <w:rPr>
          <w:rFonts w:ascii="Verdana" w:hAnsi="Verdana"/>
          <w:rtl w:val="0"/>
          <w:lang w:val="en-US"/>
        </w:rPr>
        <w:t xml:space="preserve">; it is </w:t>
      </w:r>
      <w:r>
        <w:rPr>
          <w:rFonts w:ascii="Verdana" w:hAnsi="Verdana" w:hint="default"/>
          <w:rtl w:val="1"/>
          <w:lang w:val="ar-SA" w:bidi="ar-SA"/>
        </w:rPr>
        <w:t>“</w:t>
      </w:r>
      <w:r>
        <w:rPr>
          <w:rFonts w:ascii="Verdana" w:hAnsi="Verdana"/>
          <w:rtl w:val="0"/>
          <w:lang w:val="en-US"/>
        </w:rPr>
        <w:t>certain identifiable architectural patterns for managing information beyond individual capacity recur across both cases, and can be checked criterion by criterion rather than assumed.</w:t>
      </w:r>
      <w:r>
        <w:rPr>
          <w:rFonts w:ascii="Verdana" w:hAnsi="Verdana" w:hint="default"/>
          <w:rtl w:val="0"/>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8. Applying DSSM's Four Criteria to Artificial Intelligence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DSSM defines a symbolic system as stabilized only if it satisfies all four criteria simultaneously (Section 2.2). Applying these criteria honestly to artificial intelligence </w:t>
      </w:r>
      <w:r>
        <w:rPr>
          <w:rFonts w:ascii="Verdana" w:hAnsi="Verdana" w:hint="default"/>
          <w:rtl w:val="0"/>
          <w:lang w:val="en-US"/>
        </w:rPr>
        <w:t xml:space="preserve">— </w:t>
      </w:r>
      <w:r>
        <w:rPr>
          <w:rFonts w:ascii="Verdana" w:hAnsi="Verdana"/>
          <w:rtl w:val="0"/>
          <w:lang w:val="en-US"/>
        </w:rPr>
        <w:t xml:space="preserve">rather than declaring a match in advance </w:t>
      </w:r>
      <w:r>
        <w:rPr>
          <w:rFonts w:ascii="Verdana" w:hAnsi="Verdana" w:hint="default"/>
          <w:rtl w:val="0"/>
          <w:lang w:val="en-US"/>
        </w:rPr>
        <w:t xml:space="preserve">— </w:t>
      </w:r>
      <w:r>
        <w:rPr>
          <w:rFonts w:ascii="Verdana" w:hAnsi="Verdana"/>
          <w:rtl w:val="0"/>
          <w:lang w:val="en-US"/>
        </w:rPr>
        <w:t>produces an uneven result, summarized in Table 1 and discussed criterion by criterion below. The unevenness is itself the paper's most important finding, not a weakness to be smoothed over.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It is worth stating the purpose of this exercise precisely, because a table that scores AI against archaeological criteria could easily be misread as a verdict on whether AI </w:t>
      </w:r>
      <w:r>
        <w:rPr>
          <w:rFonts w:ascii="Verdana" w:hAnsi="Verdana" w:hint="default"/>
          <w:rtl w:val="1"/>
          <w:lang w:val="ar-SA" w:bidi="ar-SA"/>
        </w:rPr>
        <w:t>“</w:t>
      </w:r>
      <w:r>
        <w:rPr>
          <w:rFonts w:ascii="Verdana" w:hAnsi="Verdana"/>
          <w:rtl w:val="0"/>
          <w:lang w:val="en-US"/>
        </w:rPr>
        <w:t>counts</w:t>
      </w:r>
      <w:r>
        <w:rPr>
          <w:rFonts w:ascii="Verdana" w:hAnsi="Verdana" w:hint="default"/>
          <w:rtl w:val="0"/>
        </w:rPr>
        <w:t xml:space="preserve">” </w:t>
      </w:r>
      <w:r>
        <w:rPr>
          <w:rFonts w:ascii="Verdana" w:hAnsi="Verdana"/>
          <w:rtl w:val="0"/>
          <w:lang w:val="en-US"/>
        </w:rPr>
        <w:t xml:space="preserve">as DSSM-stabilized in some final sense. That is not what Section 8 attempts. DSSM's four criteria were derived to characterize symbolic systems whose full multi-generational history is already available for inspection, which is not true of artificial intelligence at the time of this paper's writing. The table below is better understood as a status report on each criterion as of 2026 </w:t>
      </w:r>
      <w:r>
        <w:rPr>
          <w:rFonts w:ascii="Verdana" w:hAnsi="Verdana" w:hint="default"/>
          <w:rtl w:val="0"/>
          <w:lang w:val="en-US"/>
        </w:rPr>
        <w:t xml:space="preserve">— </w:t>
      </w:r>
      <w:r>
        <w:rPr>
          <w:rFonts w:ascii="Verdana" w:hAnsi="Verdana"/>
          <w:rtl w:val="0"/>
          <w:lang w:val="en-US"/>
        </w:rPr>
        <w:t xml:space="preserve">what is already satisfied, what is satisfied only in an altered form, what remains an open scope-condition question, and what cannot yet be evaluated </w:t>
      </w:r>
      <w:r>
        <w:rPr>
          <w:rFonts w:ascii="Verdana" w:hAnsi="Verdana" w:hint="default"/>
          <w:rtl w:val="0"/>
          <w:lang w:val="en-US"/>
        </w:rPr>
        <w:t xml:space="preserve">— </w:t>
      </w:r>
      <w:r>
        <w:rPr>
          <w:rFonts w:ascii="Verdana" w:hAnsi="Verdana"/>
          <w:rtl w:val="0"/>
          <w:lang w:val="en-US"/>
        </w:rPr>
        <w:t>than as a final classification of artificial intelligence as stabilized or unstabilized in DSSM's sense.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0"/>
          <w:szCs w:val="20"/>
        </w:rPr>
      </w:pPr>
      <w:r>
        <w:rPr>
          <w:rFonts w:ascii="Verdana" w:hAnsi="Verdana"/>
          <w:b w:val="1"/>
          <w:bCs w:val="1"/>
          <w:sz w:val="20"/>
          <w:szCs w:val="20"/>
          <w:rtl w:val="0"/>
        </w:rPr>
        <w:t xml:space="preserve">Table 1. </w:t>
      </w:r>
      <w:r>
        <w:rPr>
          <w:rFonts w:ascii="Verdana" w:hAnsi="Verdana"/>
          <w:sz w:val="20"/>
          <w:szCs w:val="20"/>
          <w:rtl w:val="0"/>
          <w:lang w:val="en-US"/>
        </w:rPr>
        <w:t>DSSM's Four Stabilization Criteria Applied to Artificial Intelligence.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0"/>
        <w:gridCol w:w="3800"/>
        <w:gridCol w:w="3800"/>
      </w:tblGrid>
      <w:tr>
        <w:tblPrEx>
          <w:shd w:val="clear" w:color="auto" w:fill="ced7e7"/>
        </w:tblPrEx>
        <w:trPr>
          <w:trHeight w:val="494"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b w:val="1"/>
                <w:bCs w:val="1"/>
                <w:sz w:val="18"/>
                <w:szCs w:val="18"/>
                <w:u w:color="000000"/>
                <w:shd w:val="nil" w:color="auto" w:fill="auto"/>
                <w:rtl w:val="0"/>
                <w:lang w:val="it-IT"/>
              </w:rPr>
              <w:t>DSSM Criterion</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b w:val="1"/>
                <w:bCs w:val="1"/>
                <w:sz w:val="18"/>
                <w:szCs w:val="18"/>
                <w:u w:color="000000"/>
                <w:shd w:val="nil" w:color="auto" w:fill="auto"/>
                <w:rtl w:val="0"/>
                <w:lang w:val="it-IT"/>
              </w:rPr>
              <w:t>Archaeological / Historical Anchor</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b w:val="1"/>
                <w:bCs w:val="1"/>
                <w:sz w:val="18"/>
                <w:szCs w:val="18"/>
                <w:u w:color="000000"/>
                <w:shd w:val="nil" w:color="auto" w:fill="auto"/>
                <w:rtl w:val="0"/>
                <w:lang w:val="en-US"/>
              </w:rPr>
              <w:t>Status for Current Artificial Intelligence</w:t>
            </w:r>
          </w:p>
        </w:tc>
      </w:tr>
      <w:tr>
        <w:tblPrEx>
          <w:shd w:val="clear" w:color="auto" w:fill="ced7e7"/>
        </w:tblPrEx>
        <w:trPr>
          <w:trHeight w:val="1550"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Cross-Media Redundancy</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Motif recurrence across ceramics, mortuary practice, and rock art (Vondoom, 2026e); vertical and horizontal transmission across raw-material sources at Shualim Rockshelter (Edeltin et al., 2026)</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 xml:space="preserve">Plausibly satisfied. Training and deployment span text, image, audio, and code simultaneously </w:t>
            </w:r>
            <w:r>
              <w:rPr>
                <w:rFonts w:ascii="Verdana" w:hAnsi="Verdana" w:hint="default"/>
                <w:sz w:val="18"/>
                <w:szCs w:val="18"/>
                <w:u w:color="000000"/>
                <w:shd w:val="nil" w:color="auto" w:fill="auto"/>
                <w:rtl w:val="0"/>
                <w:lang w:val="en-US"/>
              </w:rPr>
              <w:t xml:space="preserve">— </w:t>
            </w:r>
            <w:r>
              <w:rPr>
                <w:rFonts w:ascii="Verdana" w:hAnsi="Verdana"/>
                <w:sz w:val="18"/>
                <w:szCs w:val="18"/>
                <w:u w:color="000000"/>
                <w:shd w:val="nil" w:color="auto" w:fill="auto"/>
                <w:rtl w:val="0"/>
                <w:lang w:val="en-US"/>
              </w:rPr>
              <w:t>a stronger, more straightforward form of redundancy than most archaeological Stage 2 cases.</w:t>
            </w:r>
          </w:p>
        </w:tc>
      </w:tr>
      <w:tr>
        <w:tblPrEx>
          <w:shd w:val="clear" w:color="auto" w:fill="ced7e7"/>
        </w:tblPrEx>
        <w:trPr>
          <w:trHeight w:val="1814"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Intergenerational Repetition</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 xml:space="preserve">Reliable reproduction across </w:t>
            </w:r>
            <w:r>
              <w:rPr>
                <w:rFonts w:ascii="Verdana" w:hAnsi="Verdana" w:hint="default"/>
                <w:sz w:val="18"/>
                <w:szCs w:val="18"/>
                <w:u w:color="000000"/>
                <w:shd w:val="nil" w:color="auto" w:fill="auto"/>
                <w:rtl w:val="0"/>
              </w:rPr>
              <w:t xml:space="preserve">≥ </w:t>
            </w:r>
            <w:r>
              <w:rPr>
                <w:rFonts w:ascii="Verdana" w:hAnsi="Verdana"/>
                <w:sz w:val="18"/>
                <w:szCs w:val="18"/>
                <w:u w:color="000000"/>
                <w:shd w:val="nil" w:color="auto" w:fill="auto"/>
                <w:rtl w:val="0"/>
                <w:lang w:val="en-US"/>
              </w:rPr>
              <w:t>3 human generations (~25</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lang w:val="en-US"/>
              </w:rPr>
              <w:t>30 years each), independent of any single carrier (Vondoom, 2025a, 2026e)</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 xml:space="preserve">Weakly and differently satisfied. Successive model versions inherit patterns from prior outputs and interaction data, but the generational cycle is measured in months, not decades </w:t>
            </w:r>
            <w:r>
              <w:rPr>
                <w:rFonts w:ascii="Verdana" w:hAnsi="Verdana" w:hint="default"/>
                <w:sz w:val="18"/>
                <w:szCs w:val="18"/>
                <w:u w:color="000000"/>
                <w:shd w:val="nil" w:color="auto" w:fill="auto"/>
                <w:rtl w:val="0"/>
                <w:lang w:val="en-US"/>
              </w:rPr>
              <w:t xml:space="preserve">— </w:t>
            </w:r>
            <w:r>
              <w:rPr>
                <w:rFonts w:ascii="Verdana" w:hAnsi="Verdana"/>
                <w:sz w:val="18"/>
                <w:szCs w:val="18"/>
                <w:u w:color="000000"/>
                <w:shd w:val="nil" w:color="auto" w:fill="auto"/>
                <w:rtl w:val="0"/>
                <w:lang w:val="en-US"/>
              </w:rPr>
              <w:t>an open question, not a clean match.</w:t>
            </w:r>
          </w:p>
        </w:tc>
      </w:tr>
      <w:tr>
        <w:tblPrEx>
          <w:shd w:val="clear" w:color="auto" w:fill="ced7e7"/>
        </w:tblPrEx>
        <w:trPr>
          <w:trHeight w:val="1814"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Spatial Constraint</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Cave placement, ceremonial enclosure geometry, monument orientation (Vondoom, 2026e)</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Does not map cleanly. AI's physical substrate (distributed servers) bears no symbolic relationship to its content, unlike a cave wall's relationship to the marks placed on it. Treated as an open scope-condition question, not forced to fit.</w:t>
            </w:r>
          </w:p>
        </w:tc>
      </w:tr>
      <w:tr>
        <w:tblPrEx>
          <w:shd w:val="clear" w:color="auto" w:fill="ced7e7"/>
        </w:tblPrEx>
        <w:trPr>
          <w:trHeight w:val="1814"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de-DE"/>
              </w:rPr>
              <w:t>Persistence Under Stress</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Egyptian symbolic structures surviving First and Second Intermediate Period administrative collapse and Ptolemaic dynastic transition without institutional reconstruction (Vondoom, 2026e, Section 7.2b)</w:t>
            </w:r>
          </w:p>
        </w:tc>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s>
              <w:bidi w:val="0"/>
              <w:ind w:left="0" w:right="0" w:firstLine="0"/>
              <w:jc w:val="center"/>
              <w:rPr>
                <w:rtl w:val="0"/>
              </w:rPr>
            </w:pPr>
            <w:r>
              <w:rPr>
                <w:rFonts w:ascii="Verdana" w:hAnsi="Verdana"/>
                <w:sz w:val="18"/>
                <w:szCs w:val="18"/>
                <w:u w:color="000000"/>
                <w:shd w:val="nil" w:color="auto" w:fill="auto"/>
                <w:rtl w:val="0"/>
                <w:lang w:val="en-US"/>
              </w:rPr>
              <w:t xml:space="preserve">Unresolved, and possibly different in kind. AI knowledge depends on continuous power, server operation, and active institutional maintenance </w:t>
            </w:r>
            <w:r>
              <w:rPr>
                <w:rFonts w:ascii="Verdana" w:hAnsi="Verdana" w:hint="default"/>
                <w:sz w:val="18"/>
                <w:szCs w:val="18"/>
                <w:u w:color="000000"/>
                <w:shd w:val="nil" w:color="auto" w:fill="auto"/>
                <w:rtl w:val="0"/>
                <w:lang w:val="en-US"/>
              </w:rPr>
              <w:t xml:space="preserve">— </w:t>
            </w:r>
            <w:r>
              <w:rPr>
                <w:rFonts w:ascii="Verdana" w:hAnsi="Verdana"/>
                <w:sz w:val="18"/>
                <w:szCs w:val="18"/>
                <w:u w:color="000000"/>
                <w:shd w:val="nil" w:color="auto" w:fill="auto"/>
                <w:rtl w:val="0"/>
                <w:lang w:val="en-US"/>
              </w:rPr>
              <w:t>a dependency structure with no clean precedent among the media examined in this paper.</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rPr>
        <w:t xml:space="preserve"> </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i w:val="1"/>
          <w:iCs w:val="1"/>
          <w:rtl w:val="0"/>
          <w:lang w:val="en-US"/>
        </w:rPr>
        <w:t xml:space="preserve">Note on the table's sourcing: </w:t>
      </w:r>
      <w:r>
        <w:rPr>
          <w:rFonts w:ascii="Verdana" w:hAnsi="Verdana"/>
          <w:rtl w:val="0"/>
          <w:lang w:val="en-US"/>
        </w:rPr>
        <w:t>three of the four Archaeological / Historical Anchor citations above are to the author's own peer-reviewed prior work (Vondoom, 2026e). This reflects that DSSM's criteria and their Egyptian test case were developed and validated in that paper, not an attempt to inflate the appearance of independent support; the AI-systems side of the table (Section 6) is where this paper's evidentiary weight from genuinely external sources concentrates. See Section 13 for a fuller discussion of this distinction.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8.1 Cross-Media Redundancy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This criterion fits well. Contemporary large language model training draws on text, image, audio, and code corpora simultaneously, and the resulting systems operate across all of these media in deployment. This is a stronger, more direct form of cross-media redundancy than most Stage 2 archaeological cases in the DSSM corpus, where cross-media evidence typically has to be assembled from separate, incomplete lines of surviving material culture.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8.2 Intergenerational Repetition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Successive model versions are trained in part on data shaped by, and sometimes generated by, prior model outputs and prior human interaction with those outputs, producing a form of inheritance across model generations. But the word generation is doing different work here than it does elsewhere in DSSM. A human generation, in the Transmission Fidelity Model, is calibrated to roughly 25 to 30 years (Vondoom, 2026e). A model generation, in current AI development, is measured in months. Whether a compressed, non-biological generational cycle produces the same kind of stabilization dynamic that DSSM's neural timescale bridge derives from laboratory consolidation research is an open empirical question this paper does not resolve; it flags the criterion as satisfied only in a structurally altered form.</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8.3 Spatial Constraint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is the criterion where forcing a fit would be intellectually dishonest, and the paper declines to force it. DSSM's spatial constraint criterion was developed for symbolic systems that impose structure on physical space, movement, or landscape use. Artificial intelligence, as a computational substrate, has no straightforward physical-spatial analogue of this kind; its location is distributed server infrastructure bearing no symbolic relationship to the content it stores, unlike a cave wall's relationship to the marks placed on it. Rather than stretch the criterion, this paper treats it as a genuine scope-condition question, structurally similar to the Highland New Guinea and Norte Chico scope-condition tests already addressed in the author's </w:t>
      </w:r>
      <w:r>
        <w:rPr>
          <w:rFonts w:ascii="Verdana" w:hAnsi="Verdana"/>
          <w:rtl w:val="0"/>
          <w:lang w:val="it-IT"/>
        </w:rPr>
        <w:t xml:space="preserve">prior </w:t>
      </w:r>
      <w:r>
        <w:rPr>
          <w:rFonts w:ascii="Verdana" w:hAnsi="Verdana"/>
          <w:rtl w:val="0"/>
          <w:lang w:val="en-US"/>
        </w:rPr>
        <w:t>work (Vondoom, 2026e): a case where criteria developed for a physically embodied symbolic substrate may simply not transfer to a non-spatial one without modification, and where naming the mismatch is a better scientific outcome than forcing agreement.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de-DE"/>
        </w:rPr>
        <w:t>8.4 Persistence Under Stress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is the most consequential criterion, and it cannot presently be evaluated for artificial intelligence, for a structural reason rather than simply insufficient elapsed time. The oral traditions examined in Section 4 persisted for millennia without requiring any external infrastructure at all </w:t>
      </w:r>
      <w:r>
        <w:rPr>
          <w:rFonts w:ascii="Verdana" w:hAnsi="Verdana" w:hint="default"/>
          <w:rtl w:val="0"/>
          <w:lang w:val="en-US"/>
        </w:rPr>
        <w:t xml:space="preserve">— </w:t>
      </w:r>
      <w:r>
        <w:rPr>
          <w:rFonts w:ascii="Verdana" w:hAnsi="Verdana"/>
          <w:rtl w:val="0"/>
          <w:lang w:val="en-US"/>
        </w:rPr>
        <w:t xml:space="preserve">no server, no institution, no continuous funding, only successive human minds and the social occasions on which stories were retold. Monuments and writing, DSSM's Stage 3 media, persist without requiring continuous maintenance once created; the author's peer-reviewed work documents Egyptian symbolic structures surviving the complete administrative collapse of the First and Second Intermediate Periods, and functioning under Ptolemaic rulers with no personal connection to the culture that originated them, without institutional reconstruction (Vondoom, 2026e, Section 7.2b). Artificial intelligence systems have no equivalent property yet demonstrated. Their knowledge is not stored in a form that persists independent of continuous, centralized technical and institutional maintenance: electrical power, server operation, and active corporate or institutional decisions about which systems remain available. This is a dependency structure with no clean precedent among the externalization media examined in this paper, and it means Criterion 4 is not simply unmeasured for AI </w:t>
      </w:r>
      <w:r>
        <w:rPr>
          <w:rFonts w:ascii="Verdana" w:hAnsi="Verdana" w:hint="default"/>
          <w:rtl w:val="0"/>
          <w:lang w:val="en-US"/>
        </w:rPr>
        <w:t xml:space="preserve">— </w:t>
      </w:r>
      <w:r>
        <w:rPr>
          <w:rFonts w:ascii="Verdana" w:hAnsi="Verdana"/>
          <w:rtl w:val="0"/>
          <w:lang w:val="en-US"/>
        </w:rPr>
        <w:t>it may be structurally different in kind, not only in degree, from how earlier externalization technologies satisfied it.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9. Where the Parallel Breaks: Infrastructure Dependency and the Unresolved Test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It is worth dwelling on Section 8.4's finding rather than passing over it, because it is the point at which this paper's argument is least comfortable for its own thesis, and an honest paper should sit with that rather than smoothing past it. Every externalization medium examined in Sections 3 through 5 </w:t>
      </w:r>
      <w:r>
        <w:rPr>
          <w:rFonts w:ascii="Verdana" w:hAnsi="Verdana" w:hint="default"/>
          <w:rtl w:val="0"/>
          <w:lang w:val="en-US"/>
        </w:rPr>
        <w:t xml:space="preserve">— </w:t>
      </w:r>
      <w:r>
        <w:rPr>
          <w:rFonts w:ascii="Verdana" w:hAnsi="Verdana"/>
          <w:rtl w:val="0"/>
          <w:lang w:val="en-US"/>
        </w:rPr>
        <w:t xml:space="preserve">cave-wall marking, oral tradition, monumental architecture, writing </w:t>
      </w:r>
      <w:r>
        <w:rPr>
          <w:rFonts w:ascii="Verdana" w:hAnsi="Verdana" w:hint="default"/>
          <w:rtl w:val="0"/>
          <w:lang w:val="en-US"/>
        </w:rPr>
        <w:t xml:space="preserve">— </w:t>
      </w:r>
      <w:r>
        <w:rPr>
          <w:rFonts w:ascii="Verdana" w:hAnsi="Verdana"/>
          <w:rtl w:val="0"/>
          <w:lang w:val="en-US"/>
        </w:rPr>
        <w:t>shares a property that current artificial intelligence does not: once created, the medium requires no ongoing decision by any institution to remain in existence. A story, once told and retold across enough generations to become stable, needs no server to keep running. A monument, once built, needs no company to keep it accessible. A written text, once inscribed, degrades only through the passage of time and physical circumstance, not through an operator's decision to discontinue a service.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Artificial intelligence's knowledge, by contrast, is embedded in systems that require continuous institutional maintenance to remain queryable at all, and the AI industry's own practice of retiring and replacing successive model versions is a recurring, documented instance of exactly the kind of discontinuity that Egypt's symbolic system, by DSSM's account, was structurally built to survive without institutional reconstruction. This is not offered as a criticism of artificial intelligence as a technology; it is offered as the single most important open empirical question this paper's argument generates, and as the reason Section 8.4 refuses to resolve Criterion 4 by assumption in either direction. Whether AI-embedded knowledge can be made to survive sustained institutional or infrastructural disruption </w:t>
      </w:r>
      <w:r>
        <w:rPr>
          <w:rFonts w:ascii="Verdana" w:hAnsi="Verdana" w:hint="default"/>
          <w:rtl w:val="0"/>
          <w:lang w:val="en-US"/>
        </w:rPr>
        <w:t xml:space="preserve">— </w:t>
      </w:r>
      <w:r>
        <w:rPr>
          <w:rFonts w:ascii="Verdana" w:hAnsi="Verdana"/>
          <w:rtl w:val="0"/>
          <w:lang w:val="en-US"/>
        </w:rPr>
        <w:t xml:space="preserve">through distributed storage, open-weight preservation, or some other mechanism </w:t>
      </w:r>
      <w:r>
        <w:rPr>
          <w:rFonts w:ascii="Verdana" w:hAnsi="Verdana" w:hint="default"/>
          <w:rtl w:val="0"/>
          <w:lang w:val="en-US"/>
        </w:rPr>
        <w:t xml:space="preserve">— </w:t>
      </w:r>
      <w:r>
        <w:rPr>
          <w:rFonts w:ascii="Verdana" w:hAnsi="Verdana"/>
          <w:rtl w:val="0"/>
          <w:lang w:val="en-US"/>
        </w:rPr>
        <w:t>is an engineering and governance question this paper does not attempt to answer, but it is the question that determines whether artificial intelligence ultimately joins the deep-time lineage this paper traces or remains, on this one dimension, a genuinely new kind of thing.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practical version of this test is already available in outline, even if no one has run it as such. DSSM's own peer-reviewed work establishes what persistence under stress looks like operationally for prior externalization media: recognizable structural continuity of a symbolic system's core content across a documented institutional discontinuity, evaluated independently of whether the people maintaining the system after the discontinuity have any personal connection to those who built it (Vondoom, 2026e, Section 7.2b). The equivalent test for artificial intelligence would ask whether a specific body of AI-embedded knowledge </w:t>
      </w:r>
      <w:r>
        <w:rPr>
          <w:rFonts w:ascii="Verdana" w:hAnsi="Verdana" w:hint="default"/>
          <w:rtl w:val="0"/>
          <w:lang w:val="en-US"/>
        </w:rPr>
        <w:t xml:space="preserve">— </w:t>
      </w:r>
      <w:r>
        <w:rPr>
          <w:rFonts w:ascii="Verdana" w:hAnsi="Verdana"/>
          <w:rtl w:val="0"/>
          <w:lang w:val="en-US"/>
        </w:rPr>
        <w:t xml:space="preserve">a trained model's weights, or the content of a memory architecture built on top of one </w:t>
      </w:r>
      <w:r>
        <w:rPr>
          <w:rFonts w:ascii="Verdana" w:hAnsi="Verdana" w:hint="default"/>
          <w:rtl w:val="0"/>
          <w:lang w:val="en-US"/>
        </w:rPr>
        <w:t xml:space="preserve">— </w:t>
      </w:r>
      <w:r>
        <w:rPr>
          <w:rFonts w:ascii="Verdana" w:hAnsi="Verdana"/>
          <w:rtl w:val="0"/>
          <w:lang w:val="en-US"/>
        </w:rPr>
        <w:t>remains query-accessible and functionally intact across a comparably severe discontinuity: the discontinuation of the organization that built it, a sustained loss of the infrastructure it depends on, or an extended period during which no institution has an active interest in maintaining it. No such test has yet been run to completion, because the field is too young for a discontinuity of comparable severity and duration to have occurred and been resolved one way or the other. This paper proposes the test's design, in Section 12, as the single highest-priority item on its own research agenda, precisely because until it is run, Criterion 4 remains the one genuine unknown standing between the continuity claim this paper has made and a fuller confirmation of it.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10. Relationship to Prior Work in This Corpus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A paper that builds this heavily on an author's own prior published work owes the reader a clear account of exactly how each piece relates to the others, rather than leaving that relationship to be inferred from citation density alone. The two items below are stated as directly as possible.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rPr>
          <w:lang w:val="en-US"/>
        </w:rPr>
      </w:pPr>
      <w:r>
        <w:rPr>
          <w:rFonts w:ascii="Verdana" w:hAnsi="Verdana"/>
          <w:rtl w:val="0"/>
          <w:lang w:val="en-US"/>
        </w:rPr>
        <w:t xml:space="preserve"> Cognitive Continuities Across Human and AI DSSMs (Vondoom, 2026a) is superseded by this paper and should no longer be cited as the author's treatment of this topic. Its structural mapping of DSSM's four stages onto AI-systems terminology was directionally reasonable, but its supporting quantitative figures were illustrative rather than sourced to any measured study.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rPr>
          <w:lang w:val="en-US"/>
        </w:rPr>
      </w:pPr>
      <w:r>
        <w:rPr>
          <w:rFonts w:ascii="Verdana" w:hAnsi="Verdana"/>
          <w:rtl w:val="0"/>
          <w:lang w:val="en-US"/>
        </w:rPr>
        <w:t xml:space="preserve"> Heritage-Based Alignment (Vondoom, 2026d) is complemented, not superseded, by this paper. That paper's governance-facing claim </w:t>
      </w:r>
      <w:r>
        <w:rPr>
          <w:rFonts w:ascii="Verdana" w:hAnsi="Verdana" w:hint="default"/>
          <w:rtl w:val="0"/>
          <w:lang w:val="en-US"/>
        </w:rPr>
        <w:t xml:space="preserve">— </w:t>
      </w:r>
      <w:r>
        <w:rPr>
          <w:rFonts w:ascii="Verdana" w:hAnsi="Verdana"/>
          <w:rtl w:val="0"/>
          <w:lang w:val="en-US"/>
        </w:rPr>
        <w:t xml:space="preserve">that AI safety discourse should account for AI's place in a long lineage of symbolic offloading rather than treating AI purely as a containment problem </w:t>
      </w:r>
      <w:r>
        <w:rPr>
          <w:rFonts w:ascii="Verdana" w:hAnsi="Verdana" w:hint="default"/>
          <w:rtl w:val="0"/>
          <w:lang w:val="en-US"/>
        </w:rPr>
        <w:t xml:space="preserve">— </w:t>
      </w:r>
      <w:r>
        <w:rPr>
          <w:rFonts w:ascii="Verdana" w:hAnsi="Verdana"/>
          <w:rtl w:val="0"/>
          <w:lang w:val="en-US"/>
        </w:rPr>
        <w:t>is not re-adjudicated here. This paper supplies the specific archaeological and historical-geographic evidence base (Sections 3</w:t>
      </w:r>
      <w:r>
        <w:rPr>
          <w:rFonts w:ascii="Verdana" w:hAnsi="Verdana" w:hint="default"/>
          <w:rtl w:val="0"/>
        </w:rPr>
        <w:t>–</w:t>
      </w:r>
      <w:r>
        <w:rPr>
          <w:rFonts w:ascii="Verdana" w:hAnsi="Verdana"/>
          <w:rtl w:val="0"/>
          <w:lang w:val="en-US"/>
        </w:rPr>
        <w:t>5) and the criterion-by-criterion evaluation (Section 8) that Heritage-Based Alignment's broader argument presupposes but does not develop in comparable empirical detail.</w:t>
      </w:r>
    </w:p>
    <w:p>
      <w:pPr>
        <w:pStyle w:val="Body"/>
        <w:widowControl w:val="0"/>
        <w:numPr>
          <w:ilvl w:val="0"/>
          <w:numId w:val="4"/>
        </w:numPr>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11. Falsifiable Predictions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rPr>
          <w:lang w:val="ru-RU"/>
        </w:rPr>
      </w:pPr>
      <w:r>
        <w:rPr>
          <w:rFonts w:ascii="Verdana" w:hAnsi="Verdana"/>
          <w:rtl w:val="0"/>
          <w:lang w:val="ru-RU"/>
        </w:rPr>
        <w:t xml:space="preserve"> P1 </w:t>
      </w:r>
      <w:r>
        <w:rPr>
          <w:rFonts w:ascii="Verdana" w:hAnsi="Verdana" w:hint="default"/>
          <w:rtl w:val="0"/>
          <w:lang w:val="en-US"/>
        </w:rPr>
        <w:t xml:space="preserve">— </w:t>
      </w:r>
      <w:r>
        <w:rPr>
          <w:rFonts w:ascii="Verdana" w:hAnsi="Verdana"/>
          <w:rtl w:val="0"/>
          <w:lang w:val="en-US"/>
        </w:rPr>
        <w:t>Community-scale transmission fidelity: Oral traditions maintained within small, stable, low-contact communities (below the approximately 500-individual DSSM threshold) should show disproportionately higher multi-millennial fidelity for checkable propositional content than traditions maintained in larger, higher-contact populations. Testable by extending the Nunn and Reid (2016) methodology to additional geologically datable oral-tradition cases and correlating fidelity against estimated community size and historical contact intensity.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pPr>
      <w:r>
        <w:rPr>
          <w:rFonts w:ascii="Verdana" w:hAnsi="Verdana"/>
          <w:rtl w:val="0"/>
        </w:rPr>
        <w:t xml:space="preserve"> P2 </w:t>
      </w:r>
      <w:r>
        <w:rPr>
          <w:rFonts w:ascii="Verdana" w:hAnsi="Verdana" w:hint="default"/>
          <w:rtl w:val="0"/>
          <w:lang w:val="en-US"/>
        </w:rPr>
        <w:t xml:space="preserve">— </w:t>
      </w:r>
      <w:r>
        <w:rPr>
          <w:rFonts w:ascii="Verdana" w:hAnsi="Verdana"/>
          <w:rtl w:val="0"/>
          <w:lang w:val="en-US"/>
        </w:rPr>
        <w:t>Continued convergent vocabulary: If externalization is a real, substrate-independent phenomenon rather than a coincidence of several papers appearing in the same period, independent AI-systems, philosophy-of-mind, and cognitive-neuroscience literatures should continue to converge on externalization, offloading, and extended-cognition vocabulary as AI memory architecture matures, without needing to reference DSSM or archaeology. Falsifiable by tracking incidence of this vocabulary in the AI-systems literature going forward.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rPr>
          <w:lang w:val="da-DK"/>
        </w:rPr>
      </w:pPr>
      <w:r>
        <w:rPr>
          <w:rFonts w:ascii="Verdana" w:hAnsi="Verdana"/>
          <w:rtl w:val="0"/>
          <w:lang w:val="da-DK"/>
        </w:rPr>
        <w:t xml:space="preserve"> P3 </w:t>
      </w:r>
      <w:r>
        <w:rPr>
          <w:rFonts w:ascii="Verdana" w:hAnsi="Verdana" w:hint="default"/>
          <w:rtl w:val="0"/>
          <w:lang w:val="en-US"/>
        </w:rPr>
        <w:t xml:space="preserve">— </w:t>
      </w:r>
      <w:r>
        <w:rPr>
          <w:rFonts w:ascii="Verdana" w:hAnsi="Verdana"/>
          <w:rtl w:val="0"/>
          <w:lang w:val="en-US"/>
        </w:rPr>
        <w:t>The persistence asymmetry: If Criterion 4 genuinely differs in kind rather than merely degree for artificial intelligence (Sections 8.4 and 9), AI-embedded knowledge should show measurably lower resilience than oral tradition or monumental media under a sustained infrastructure or institutional disruption of comparable severity to the collapse events documented for Egypt (Vondoom, 2026e). Not yet testable given the field's youth, but stated here as a specific, falsifiable claim rather than an unstated assumption.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pPr>
      <w:r>
        <w:rPr>
          <w:rFonts w:ascii="Verdana" w:hAnsi="Verdana"/>
          <w:rtl w:val="0"/>
        </w:rPr>
        <w:t xml:space="preserve"> P4 </w:t>
      </w:r>
      <w:r>
        <w:rPr>
          <w:rFonts w:ascii="Verdana" w:hAnsi="Verdana" w:hint="default"/>
          <w:rtl w:val="0"/>
          <w:lang w:val="en-US"/>
        </w:rPr>
        <w:t xml:space="preserve">— </w:t>
      </w:r>
      <w:r>
        <w:rPr>
          <w:rFonts w:ascii="Verdana" w:hAnsi="Verdana"/>
          <w:rtl w:val="0"/>
          <w:lang w:val="en-US"/>
        </w:rPr>
        <w:t>Offloading and unaided retention: DSSM's own framework predicts that Stage 3 externalization trades coordination gains against unaided individual retention of the offloaded function, since capacity is structurally relocated rather than duplicated. This generates a specific, testable prediction for artificial intelligence: domains in which AI-based externalization is adopted most heavily should show measurable declines in unaided human retention of the offloaded function. This paper does not currently cite empirical AI-specific evidence for this pattern and treats it as an open prediction, not an already-documented finding.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pPr>
      <w:r>
        <w:rPr>
          <w:rFonts w:ascii="Verdana" w:hAnsi="Verdana"/>
          <w:rtl w:val="0"/>
        </w:rPr>
        <w:t xml:space="preserve"> P5 </w:t>
      </w:r>
      <w:r>
        <w:rPr>
          <w:rFonts w:ascii="Verdana" w:hAnsi="Verdana" w:hint="default"/>
          <w:rtl w:val="0"/>
          <w:lang w:val="en-US"/>
        </w:rPr>
        <w:t xml:space="preserve">— </w:t>
      </w:r>
      <w:r>
        <w:rPr>
          <w:rFonts w:ascii="Verdana" w:hAnsi="Verdana"/>
          <w:rtl w:val="0"/>
          <w:lang w:val="en-US"/>
        </w:rPr>
        <w:t>Generational compression effects: If AI's compressed, non-biological generational cycle (Section 8.2) produces a stabilization dynamic structurally different from the multi-decade human generational cycle DSSM's neural timescale bridge is calibrated to, this should be detectable as measurably different drift and convergence rates in AI system behavior across successive model versions compared to the multi-generational cultural transmission rates documented in the human archaeological record.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numPr>
          <w:ilvl w:val="0"/>
          <w:numId w:val="4"/>
        </w:numPr>
        <w:jc w:val="both"/>
      </w:pPr>
      <w:r>
        <w:rPr>
          <w:rFonts w:ascii="Verdana" w:hAnsi="Verdana"/>
          <w:rtl w:val="0"/>
        </w:rPr>
        <w:t xml:space="preserve"> P6 </w:t>
      </w:r>
      <w:r>
        <w:rPr>
          <w:rFonts w:ascii="Verdana" w:hAnsi="Verdana" w:hint="default"/>
          <w:rtl w:val="0"/>
          <w:lang w:val="en-US"/>
        </w:rPr>
        <w:t xml:space="preserve">— </w:t>
      </w:r>
      <w:r>
        <w:rPr>
          <w:rFonts w:ascii="Verdana" w:hAnsi="Verdana"/>
          <w:rtl w:val="0"/>
          <w:lang w:val="en-US"/>
        </w:rPr>
        <w:t xml:space="preserve">Continuity of the intermediate chain: If the chain documented in Section 14 and Table 2 is genuinely continuous rather than a set of independently motivated episodes retrospectively strung together, each transition in the chain (portable media to writing, writing to industrial protocol, industrial protocol to computational externalization) should show measurable continuity of underlying symbolic content across the transition </w:t>
      </w:r>
      <w:r>
        <w:rPr>
          <w:rFonts w:ascii="Verdana" w:hAnsi="Verdana" w:hint="default"/>
          <w:rtl w:val="0"/>
          <w:lang w:val="en-US"/>
        </w:rPr>
        <w:t xml:space="preserve">— </w:t>
      </w:r>
      <w:r>
        <w:rPr>
          <w:rFonts w:ascii="Verdana" w:hAnsi="Verdana"/>
          <w:rtl w:val="0"/>
          <w:lang w:val="en-US"/>
        </w:rPr>
        <w:t xml:space="preserve">following the same method already applied to the writing transition specifically in Section 2.5 </w:t>
      </w:r>
      <w:r>
        <w:rPr>
          <w:rFonts w:ascii="Verdana" w:hAnsi="Verdana" w:hint="default"/>
          <w:rtl w:val="0"/>
          <w:lang w:val="en-US"/>
        </w:rPr>
        <w:t xml:space="preserve">— </w:t>
      </w:r>
      <w:r>
        <w:rPr>
          <w:rFonts w:ascii="Verdana" w:hAnsi="Verdana"/>
          <w:rtl w:val="0"/>
          <w:lang w:val="en-US"/>
        </w:rPr>
        <w:t>rather than each new medium introducing predominantly novel content unconnected to what preceded it.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12. Future Research Agenda</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hint="default"/>
          <w:rtl w:val="0"/>
        </w:rPr>
        <w:t xml:space="preserve">•  </w:t>
      </w:r>
      <w:r>
        <w:rPr>
          <w:rFonts w:ascii="Verdana" w:hAnsi="Verdana"/>
          <w:rtl w:val="0"/>
          <w:lang w:val="en-US"/>
        </w:rPr>
        <w:t>Systematic extension of the Nunn and Reid (2016) geomythological method to additional documented oral-tradition cases beyond Australia and northwest Europe, to test P1 against a broader comparative sample.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hint="default"/>
          <w:rtl w:val="0"/>
        </w:rPr>
        <w:t xml:space="preserve">•  </w:t>
      </w:r>
      <w:r>
        <w:rPr>
          <w:rFonts w:ascii="Verdana" w:hAnsi="Verdana"/>
          <w:rtl w:val="0"/>
          <w:lang w:val="en-US"/>
        </w:rPr>
        <w:t>Collaborative work with AI-systems researchers to formally test whether Criterion 1 (intergenerational repetition) requires recalibration for non-biological generational cycles, rather than assuming the human-calibrated timescale bridge transfers unmodified.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hint="default"/>
          <w:rtl w:val="0"/>
        </w:rPr>
        <w:t xml:space="preserve">•  </w:t>
      </w:r>
      <w:r>
        <w:rPr>
          <w:rFonts w:ascii="Verdana" w:hAnsi="Verdana"/>
          <w:rtl w:val="0"/>
          <w:lang w:val="en-US"/>
        </w:rPr>
        <w:t>Explicit engagement with AI governance and infrastructure-resilience research to examine whether distributed storage, open-weight preservation, or comparable mechanisms could functionally satisfy Criterion 4 for artificial intelligence, addressing the open question raised in Section 9.</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hint="default"/>
          <w:rtl w:val="0"/>
        </w:rPr>
        <w:t xml:space="preserve">•  </w:t>
      </w:r>
      <w:r>
        <w:rPr>
          <w:rFonts w:ascii="Verdana" w:hAnsi="Verdana"/>
          <w:rtl w:val="0"/>
          <w:lang w:val="en-US"/>
        </w:rPr>
        <w:t>A dedicated empirical study measuring whether AI-based cognitive offloading in specific applied domains reproduces the retention trade-off DSSM's framework predicts (P4), since this paper currently has no cited empirical source for that pattern in AI-specific contexts.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hint="default"/>
          <w:rtl w:val="0"/>
        </w:rPr>
        <w:t xml:space="preserve">•  </w:t>
      </w:r>
      <w:r>
        <w:rPr>
          <w:rFonts w:ascii="Verdana" w:hAnsi="Verdana"/>
          <w:rtl w:val="0"/>
          <w:lang w:val="en-US"/>
        </w:rPr>
        <w:t>Systematic comparison of DSSM's spatial constraint criterion against non-spatial symbolic substrates generally, using artificial intelligence as one case among others (e.g., purely oral or purely digital-network systems), to determine whether the criterion requires reformulation rather than treating AI as a single anomalous exception.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hint="default"/>
          <w:rtl w:val="0"/>
        </w:rPr>
        <w:t xml:space="preserve">•  </w:t>
      </w:r>
      <w:r>
        <w:rPr>
          <w:rFonts w:ascii="Verdana" w:hAnsi="Verdana"/>
          <w:rtl w:val="0"/>
          <w:lang w:val="en-US"/>
        </w:rPr>
        <w:t>Design and, where institutionally feasible, execution of the practical persistence test outlined in Section 9: tracking whether a specific, bounded body of AI-embedded knowledge remains functionally accessible across a documented, severe institutional or infrastructural discontinuity, as the single most direct empirical route to resolving Criterion 4.</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hint="default"/>
          <w:rtl w:val="0"/>
        </w:rPr>
        <w:t xml:space="preserve">•  </w:t>
      </w:r>
      <w:r>
        <w:rPr>
          <w:rFonts w:ascii="Verdana" w:hAnsi="Verdana"/>
          <w:rtl w:val="0"/>
          <w:lang w:val="en-US"/>
        </w:rPr>
        <w:t>Independent replication of the terminology mapping proposed in Section 2.6 by researchers working primarily in AI systems engineering or philosophy of mind, to test whether the externalization / extended cognition / cognitive offloading distinction holds up outside the author's own synthesis of it.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fr-FR"/>
        </w:rPr>
        <w:t>13. Limitations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Before listing specific limitations, it is worth stating what would falsify this paper's central claim, since a continuity argument that cannot specify its own falsification conditions is not making a scientific claim at all. The claim would be falsified, or substantially weakened, by any of the following: if the AI-systems sources surveyed in Section 6 turn out to be unrepresentative outliers rather than a genuine trend in the field's own self-description; if Criterion 4, once testable, resolves in a way that shows AI-embedded knowledge cannot survive institutional discontinuity under any architecture, making the persistence gap identified in Section 9 permanent rather than a current, resolvable limitation; or if the archaeological evidence in Sections 3 through 5, on closer primary-source scrutiny, turns out to support independent rediscovery over transmitted knowledge more strongly than the interpretation offered here allows. None of these outcomes are ruled out by anything in this paper, and P1 through P6 in Section 11 are offered as the mechanisms by which they could be tested.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Six limitations bound the claims advanced in this paper and define its empirical agenda. First, the AI-systems literature surveyed in Section 6 describes artificial intelligence architecture on its own terms and does not reference DSSM, archaeology, or the author's prior work; the parallel drawn between that literature and DSSM's Stage 3 and Stage 4 vocabulary is this paper's synthesis, not a claim that AI researchers endorse or are aware of DSSM. Second, Criterion 2, spatial constraint, is treated throughout as an open scope-condition question rather than resolved, and readers should not take this paper's overall argument as claiming all four DSSM criteria are cleanly satisfied by artificial intelligence; Section 8.3 states directly that they are not. Third, Criterion 4, persistence under stress, cannot presently be evaluated for artificial intelligence given the technology's youth; Sections 8.4 and 9 present a structural prediction about why this criterion may differ in kind, not a demonstrated finding. Fourth, the oral-tradition evidence in Section 4 is drawn primarily from a specific, well-documented Australian case with a comparative northwest European case; generalizing beyond these documented cases to a universal claim about ancient human oral transmission requires caution about the breadth of the underlying sample, a limitation the geomythological literature itself acknowledges. Fifth, this paper is a theoretical synthesis of existing published evidence across archaeology, historical geography, philosophy of mind, and AI systems research; it does not present new primary data in any of these fields, and its predictions in Section 11 are offered as an agenda for that primary work rather than as its substitute. Sixth, and worth stating plainly rather than leaving implicit: a substantial portion of the theoretical scaffolding this paper relies on </w:t>
      </w:r>
      <w:r>
        <w:rPr>
          <w:rFonts w:ascii="Verdana" w:hAnsi="Verdana" w:hint="default"/>
          <w:rtl w:val="0"/>
          <w:lang w:val="en-US"/>
        </w:rPr>
        <w:t xml:space="preserve">— </w:t>
      </w:r>
      <w:r>
        <w:rPr>
          <w:rFonts w:ascii="Verdana" w:hAnsi="Verdana"/>
          <w:rtl w:val="0"/>
          <w:lang w:val="en-US"/>
        </w:rPr>
        <w:t xml:space="preserve">the Transmission Fidelity Model, the four-stage sequence, the peer-reviewed Egyptian case study, the intermediate technological chain in Section 14 </w:t>
      </w:r>
      <w:r>
        <w:rPr>
          <w:rFonts w:ascii="Verdana" w:hAnsi="Verdana" w:hint="default"/>
          <w:rtl w:val="0"/>
          <w:lang w:val="en-US"/>
        </w:rPr>
        <w:t xml:space="preserve">— </w:t>
      </w:r>
      <w:r>
        <w:rPr>
          <w:rFonts w:ascii="Verdana" w:hAnsi="Verdana"/>
          <w:rtl w:val="0"/>
          <w:lang w:val="en-US"/>
        </w:rPr>
        <w:t>is drawn from the author's own prior corpus. Where this paper describes a finding as an independent confirmation of a DSSM claim (most notably in Section 4.3, connecting Nunn and Reid's oral-tradition evidence to the author's own published P7 finding), the independence lies in the external, non-DSSM-authored source, not in the DSSM claim itself being externally validated by a separate research group. A reader should weigh the convergence argument in Section 6 accordingly: it is strongest where it rests on AI-systems literature with no connection to the author's work, and weaker, though not invalid, where it rests on connections between two pieces of the author's own corpus.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14. The Intermediate Chain: Why This Is Not a Two-Point Comparison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reasonable objection to everything argued so far is that it compares two very distant points </w:t>
      </w:r>
      <w:r>
        <w:rPr>
          <w:rFonts w:ascii="Verdana" w:hAnsi="Verdana" w:hint="default"/>
          <w:rtl w:val="0"/>
          <w:lang w:val="en-US"/>
        </w:rPr>
        <w:t xml:space="preserve">— </w:t>
      </w:r>
      <w:r>
        <w:rPr>
          <w:rFonts w:ascii="Verdana" w:hAnsi="Verdana"/>
          <w:rtl w:val="0"/>
          <w:lang w:val="en-US"/>
        </w:rPr>
        <w:t>Pleistocene caves and oral tradition on one end, 2025</w:t>
      </w:r>
      <w:r>
        <w:rPr>
          <w:rFonts w:ascii="Verdana" w:hAnsi="Verdana" w:hint="default"/>
          <w:rtl w:val="0"/>
        </w:rPr>
        <w:t>–</w:t>
      </w:r>
      <w:r>
        <w:rPr>
          <w:rFonts w:ascii="Verdana" w:hAnsi="Verdana"/>
          <w:rtl w:val="0"/>
          <w:lang w:val="en-US"/>
        </w:rPr>
        <w:t xml:space="preserve">2026 artificial intelligence systems on the other </w:t>
      </w:r>
      <w:r>
        <w:rPr>
          <w:rFonts w:ascii="Verdana" w:hAnsi="Verdana" w:hint="default"/>
          <w:rtl w:val="0"/>
          <w:lang w:val="en-US"/>
        </w:rPr>
        <w:t xml:space="preserve">— </w:t>
      </w:r>
      <w:r>
        <w:rPr>
          <w:rFonts w:ascii="Verdana" w:hAnsi="Verdana"/>
          <w:rtl w:val="0"/>
          <w:lang w:val="en-US"/>
        </w:rPr>
        <w:t>while skipping everything in between. DSSM does not, in fact, skip the interval, and it is worth showing briefly why the intermediate record supports rather than complicates the continuity claim, drawing on the author's existing published work on technological history.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author's prior work argues that technologies across the interval separating deep prehistory from the present </w:t>
      </w:r>
      <w:r>
        <w:rPr>
          <w:rFonts w:ascii="Verdana" w:hAnsi="Verdana" w:hint="default"/>
          <w:rtl w:val="0"/>
          <w:lang w:val="en-US"/>
        </w:rPr>
        <w:t xml:space="preserve">— </w:t>
      </w:r>
      <w:r>
        <w:rPr>
          <w:rFonts w:ascii="Verdana" w:hAnsi="Verdana"/>
          <w:rtl w:val="0"/>
          <w:lang w:val="en-US"/>
        </w:rPr>
        <w:t xml:space="preserve">lithics, metallurgy, storage architecture, writing, transport infrastructure, administrative record-keeping </w:t>
      </w:r>
      <w:r>
        <w:rPr>
          <w:rFonts w:ascii="Verdana" w:hAnsi="Verdana" w:hint="default"/>
          <w:rtl w:val="0"/>
          <w:lang w:val="en-US"/>
        </w:rPr>
        <w:t xml:space="preserve">— </w:t>
      </w:r>
      <w:r>
        <w:rPr>
          <w:rFonts w:ascii="Verdana" w:hAnsi="Verdana"/>
          <w:rtl w:val="0"/>
          <w:lang w:val="en-US"/>
        </w:rPr>
        <w:t xml:space="preserve">are best understood not as a sequence of episodic inventions but as fossilized rituals: embodied, repetitive actions that become materially standardized, externally scaffolded, and intergenerationally conserved (Vondoom, 2026f). On this account, containers evolve from perishable baskets through pottery to storage architecture to administrative tokens and tablets, with writing itself originating as an accounting and control technology rather than as expressive language committed to a page </w:t>
      </w:r>
      <w:r>
        <w:rPr>
          <w:rFonts w:ascii="Verdana" w:hAnsi="Verdana" w:hint="default"/>
          <w:rtl w:val="0"/>
          <w:lang w:val="en-US"/>
        </w:rPr>
        <w:t xml:space="preserve">— </w:t>
      </w:r>
      <w:r>
        <w:rPr>
          <w:rFonts w:ascii="Verdana" w:hAnsi="Verdana"/>
          <w:rtl w:val="0"/>
          <w:lang w:val="en-US"/>
        </w:rPr>
        <w:t>external memory stabilizing cognition under the specific pressure of surplus management, a Stage 3 externalization event structurally identical in kind, though not in medium, to the one this paper traces from cave to computation (Vondoom, 2026f).</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A companion piece extends this account into the recent past, arguing that stabilized practices </w:t>
      </w:r>
      <w:r>
        <w:rPr>
          <w:rFonts w:ascii="Verdana" w:hAnsi="Verdana" w:hint="default"/>
          <w:rtl w:val="0"/>
          <w:lang w:val="en-US"/>
        </w:rPr>
        <w:t xml:space="preserve">— </w:t>
      </w:r>
      <w:r>
        <w:rPr>
          <w:rFonts w:ascii="Verdana" w:hAnsi="Verdana"/>
          <w:rtl w:val="0"/>
          <w:lang w:val="en-US"/>
        </w:rPr>
        <w:t xml:space="preserve">in particular, centuries of ritualized metallurgy and fire mastery in northern Europe </w:t>
      </w:r>
      <w:r>
        <w:rPr>
          <w:rFonts w:ascii="Verdana" w:hAnsi="Verdana" w:hint="default"/>
          <w:rtl w:val="0"/>
          <w:lang w:val="en-US"/>
        </w:rPr>
        <w:t xml:space="preserve">— </w:t>
      </w:r>
      <w:r>
        <w:rPr>
          <w:rFonts w:ascii="Verdana" w:hAnsi="Verdana"/>
          <w:rtl w:val="0"/>
          <w:lang w:val="en-US"/>
        </w:rPr>
        <w:t>crystallized into protocols that later civilizational trajectories were built on top of rather than invented anew, with industrial machinery representing amplification and externalization of pre-existing protocols rather than a discontinuous leap (Vondoom, 2026g). Read together with the present paper, the resulting picture is a single unbroken chain rather than a two-point comparison: embodied practice stabilizes into ritual; ritual externalizes into portable and monumental media; portable and monumental media compress into writing and administration; administration and craft protocol amplify into industrial machinery; and industrial information-processing infrastructure is now, on the evidence assembled in Section 6, being explicitly redescribed by its own builders as an externalization and offloading architecture continuous with the pattern DSSM identifies at every earlier link in the chain. Artificial intelligence is not being compared across a five-hundred-thousand-year gap to a cave painting. It is the current terminus of a chain each of whose intermediate links has independent archaeological, historical, or technical documentation.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Table 2 lays out this chain explicitly, with the source responsible for each link stated so it can be audited rather than taken on faith.</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18"/>
          <w:szCs w:val="18"/>
        </w:rPr>
      </w:pPr>
      <w:r>
        <w:rPr>
          <w:rFonts w:ascii="Verdana" w:hAnsi="Verdana"/>
          <w:b w:val="1"/>
          <w:bCs w:val="1"/>
          <w:sz w:val="18"/>
          <w:szCs w:val="18"/>
          <w:rtl w:val="0"/>
        </w:rPr>
        <w:t xml:space="preserve">Table 2. </w:t>
      </w:r>
      <w:r>
        <w:rPr>
          <w:rFonts w:ascii="Verdana" w:hAnsi="Verdana"/>
          <w:sz w:val="18"/>
          <w:szCs w:val="18"/>
          <w:rtl w:val="0"/>
          <w:lang w:val="en-US"/>
        </w:rPr>
        <w:t>Chronological Chain of Externalization Media from Deep Prehistory to Artificial Intelligence.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p>
    <w:tbl>
      <w:tblPr>
        <w:tblW w:w="9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00"/>
        <w:gridCol w:w="2400"/>
        <w:gridCol w:w="1800"/>
        <w:gridCol w:w="3000"/>
      </w:tblGrid>
      <w:tr>
        <w:tblPrEx>
          <w:shd w:val="clear" w:color="auto" w:fill="ced7e7"/>
        </w:tblPrEx>
        <w:trPr>
          <w:trHeight w:val="494"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b w:val="1"/>
                <w:bCs w:val="1"/>
                <w:sz w:val="18"/>
                <w:szCs w:val="18"/>
                <w:u w:color="000000"/>
                <w:shd w:val="nil" w:color="auto" w:fill="auto"/>
                <w:rtl w:val="0"/>
                <w:lang w:val="en-US"/>
              </w:rPr>
              <w:t>Link in the Chain</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b w:val="1"/>
                <w:bCs w:val="1"/>
                <w:sz w:val="18"/>
                <w:szCs w:val="18"/>
                <w:u w:color="000000"/>
                <w:shd w:val="nil" w:color="auto" w:fill="auto"/>
                <w:rtl w:val="0"/>
                <w:lang w:val="en-US"/>
              </w:rPr>
              <w:t>Approximate Period / Date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b w:val="1"/>
                <w:bCs w:val="1"/>
                <w:sz w:val="18"/>
                <w:szCs w:val="18"/>
                <w:u w:color="000000"/>
                <w:shd w:val="nil" w:color="auto" w:fill="auto"/>
                <w:rtl w:val="0"/>
                <w:lang w:val="pt-PT"/>
              </w:rPr>
              <w:t>DSSM Stage</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b w:val="1"/>
                <w:bCs w:val="1"/>
                <w:sz w:val="18"/>
                <w:szCs w:val="18"/>
                <w:u w:color="000000"/>
                <w:shd w:val="nil" w:color="auto" w:fill="auto"/>
                <w:rtl w:val="0"/>
                <w:lang w:val="en-US"/>
              </w:rPr>
              <w:t>Source in This Paper or Corpus</w:t>
            </w:r>
          </w:p>
        </w:tc>
      </w:tr>
      <w:tr>
        <w:tblPrEx>
          <w:shd w:val="clear" w:color="auto" w:fill="ced7e7"/>
        </w:tblPrEx>
        <w:trPr>
          <w:trHeight w:val="494"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Acheulean template-governed toolmaking</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 xml:space="preserve">~1.7 Ma </w:t>
            </w:r>
            <w:r>
              <w:rPr>
                <w:rFonts w:ascii="Verdana" w:hAnsi="Verdana" w:hint="default"/>
                <w:sz w:val="18"/>
                <w:szCs w:val="18"/>
                <w:u w:color="000000"/>
                <w:shd w:val="nil" w:color="auto" w:fill="auto"/>
                <w:rtl w:val="0"/>
              </w:rPr>
              <w:t xml:space="preserve">– </w:t>
            </w:r>
            <w:r>
              <w:rPr>
                <w:rFonts w:ascii="Verdana" w:hAnsi="Verdana"/>
                <w:sz w:val="18"/>
                <w:szCs w:val="18"/>
                <w:u w:color="000000"/>
                <w:shd w:val="nil" w:color="auto" w:fill="auto"/>
                <w:rtl w:val="0"/>
              </w:rPr>
              <w:t>300 ka</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e-DE"/>
              </w:rPr>
              <w:t>Pre-Stage 1</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en-US"/>
              </w:rPr>
              <w:t>Section 1.2; Vondoom, 2026d</w:t>
            </w:r>
          </w:p>
        </w:tc>
      </w:tr>
      <w:tr>
        <w:tblPrEx>
          <w:shd w:val="clear" w:color="auto" w:fill="ced7e7"/>
        </w:tblPrEx>
        <w:trPr>
          <w:trHeight w:val="75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Shualim Rockshelter vertical/horizontal transmission</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~47</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rPr>
              <w:t>36 ka BP</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a-DK"/>
              </w:rPr>
              <w:t>Stage 1</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rPr>
              <w:t>2</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fr-FR"/>
              </w:rPr>
              <w:t>Section 5.1; Edeltin et al., 2026</w:t>
            </w:r>
          </w:p>
        </w:tc>
      </w:tr>
      <w:tr>
        <w:tblPrEx>
          <w:shd w:val="clear" w:color="auto" w:fill="ced7e7"/>
        </w:tblPrEx>
        <w:trPr>
          <w:trHeight w:val="75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it-IT"/>
              </w:rPr>
              <w:t>Teixoneres, Grotta Romanelli, Pinnacle Point site fidelity</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rPr>
              <w:t>MIS 9</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rPr>
              <w:t>3 (site-specific)</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a-DK"/>
              </w:rPr>
              <w:t>Stage 1</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rPr>
              <w:t>2</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fr-FR"/>
              </w:rPr>
              <w:t>Section 3</w:t>
            </w:r>
          </w:p>
        </w:tc>
      </w:tr>
      <w:tr>
        <w:tblPrEx>
          <w:shd w:val="clear" w:color="auto" w:fill="ced7e7"/>
        </w:tblPrEx>
        <w:trPr>
          <w:trHeight w:val="494"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Verified oral transmission of sea-level change</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&gt;7,000 years BP</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a-DK"/>
              </w:rPr>
              <w:t>Stage 1</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lang w:val="it-IT"/>
              </w:rPr>
              <w:t>2 (no Stage 3)</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en-US"/>
              </w:rPr>
              <w:t>Section 4; Nunn &amp; Reid, 2016</w:t>
            </w:r>
          </w:p>
        </w:tc>
      </w:tr>
      <w:tr>
        <w:tblPrEx>
          <w:shd w:val="clear" w:color="auto" w:fill="ced7e7"/>
        </w:tblPrEx>
        <w:trPr>
          <w:trHeight w:val="494"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Portable media and hieroglyphic codification</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~4000</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lang w:val="fr-FR"/>
              </w:rPr>
              <w:t>3100 BCE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a-DK"/>
              </w:rPr>
              <w:t>Stage 3</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en-US"/>
              </w:rPr>
              <w:t>Section 2.5; Vondoom, 2026e</w:t>
            </w:r>
          </w:p>
        </w:tc>
      </w:tr>
      <w:tr>
        <w:tblPrEx>
          <w:shd w:val="clear" w:color="auto" w:fill="ced7e7"/>
        </w:tblPrEx>
        <w:trPr>
          <w:trHeight w:val="75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Storage architecture, administration, writing-as-accounting</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 xml:space="preserve">Neolithic </w:t>
            </w:r>
            <w:r>
              <w:rPr>
                <w:rFonts w:ascii="Verdana" w:hAnsi="Verdana" w:hint="default"/>
                <w:sz w:val="18"/>
                <w:szCs w:val="18"/>
                <w:u w:color="000000"/>
                <w:shd w:val="nil" w:color="auto" w:fill="auto"/>
                <w:rtl w:val="0"/>
              </w:rPr>
              <w:t xml:space="preserve">– </w:t>
            </w:r>
            <w:r>
              <w:rPr>
                <w:rFonts w:ascii="Verdana" w:hAnsi="Verdana"/>
                <w:sz w:val="18"/>
                <w:szCs w:val="18"/>
                <w:u w:color="000000"/>
                <w:shd w:val="nil" w:color="auto" w:fill="auto"/>
                <w:rtl w:val="0"/>
                <w:lang w:val="nl-NL"/>
              </w:rPr>
              <w:t>Bronze Age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a-DK"/>
              </w:rPr>
              <w:t>Stage 3</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rPr>
              <w:t>4</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nl-NL"/>
              </w:rPr>
              <w:t>Vondoom, 2026f</w:t>
            </w:r>
          </w:p>
        </w:tc>
      </w:tr>
      <w:tr>
        <w:tblPrEx>
          <w:shd w:val="clear" w:color="auto" w:fill="ced7e7"/>
        </w:tblPrEx>
        <w:trPr>
          <w:trHeight w:val="75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Metallurgical and industrial protocol amplification</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pt-PT"/>
              </w:rPr>
              <w:t xml:space="preserve">Medieval </w:t>
            </w:r>
            <w:r>
              <w:rPr>
                <w:rFonts w:ascii="Verdana" w:hAnsi="Verdana" w:hint="default"/>
                <w:sz w:val="18"/>
                <w:szCs w:val="18"/>
                <w:u w:color="000000"/>
                <w:shd w:val="nil" w:color="auto" w:fill="auto"/>
                <w:rtl w:val="0"/>
              </w:rPr>
              <w:t xml:space="preserve">– </w:t>
            </w:r>
            <w:r>
              <w:rPr>
                <w:rFonts w:ascii="Verdana" w:hAnsi="Verdana"/>
                <w:sz w:val="18"/>
                <w:szCs w:val="18"/>
                <w:u w:color="000000"/>
                <w:shd w:val="nil" w:color="auto" w:fill="auto"/>
                <w:rtl w:val="0"/>
                <w:lang w:val="en-US"/>
              </w:rPr>
              <w:t>18th c. CE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a-DK"/>
              </w:rPr>
              <w:t>Stage 4</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nl-NL"/>
              </w:rPr>
              <w:t>Vondoom, 2026g</w:t>
            </w:r>
          </w:p>
        </w:tc>
      </w:tr>
      <w:tr>
        <w:tblPrEx>
          <w:shd w:val="clear" w:color="auto" w:fill="ced7e7"/>
        </w:tblPrEx>
        <w:trPr>
          <w:trHeight w:val="75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lang w:val="en-US"/>
              </w:rPr>
              <w:t>AI memory externalization architecture</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8"/>
                <w:szCs w:val="18"/>
                <w:u w:color="000000"/>
                <w:shd w:val="nil" w:color="auto" w:fill="auto"/>
                <w:rtl w:val="0"/>
              </w:rPr>
              <w:t>2025</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rPr>
              <w:t>2026</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8"/>
                <w:szCs w:val="18"/>
                <w:u w:color="000000"/>
                <w:shd w:val="nil" w:color="auto" w:fill="auto"/>
                <w:rtl w:val="0"/>
                <w:lang w:val="da-DK"/>
              </w:rPr>
              <w:t>Stage 3</w:t>
            </w:r>
            <w:r>
              <w:rPr>
                <w:rFonts w:ascii="Verdana" w:hAnsi="Verdana" w:hint="default"/>
                <w:sz w:val="18"/>
                <w:szCs w:val="18"/>
                <w:u w:color="000000"/>
                <w:shd w:val="nil" w:color="auto" w:fill="auto"/>
                <w:rtl w:val="0"/>
              </w:rPr>
              <w:t>–</w:t>
            </w:r>
            <w:r>
              <w:rPr>
                <w:rFonts w:ascii="Verdana" w:hAnsi="Verdana"/>
                <w:sz w:val="18"/>
                <w:szCs w:val="18"/>
                <w:u w:color="000000"/>
                <w:shd w:val="nil" w:color="auto" w:fill="auto"/>
                <w:rtl w:val="0"/>
                <w:lang w:val="en-US"/>
              </w:rPr>
              <w:t>4 (Criterion 4 unresolved)</w:t>
            </w:r>
          </w:p>
        </w:tc>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Verdana" w:hAnsi="Verdana"/>
                <w:sz w:val="18"/>
                <w:szCs w:val="18"/>
                <w:u w:color="000000"/>
                <w:shd w:val="nil" w:color="auto" w:fill="auto"/>
                <w:rtl w:val="0"/>
                <w:lang w:val="fr-FR"/>
              </w:rPr>
              <w:t>Section 6</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rPr>
        <w:t xml:space="preserve"> </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it-IT"/>
        </w:rPr>
        <w:t>15. Conclusion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argument this paper has made is narrower, and the author believes stronger for being narrower, than a general claim that artificial intelligence resembles ancient memory. It is this: a specific mechanism </w:t>
      </w:r>
      <w:r>
        <w:rPr>
          <w:rFonts w:ascii="Verdana" w:hAnsi="Verdana" w:hint="default"/>
          <w:rtl w:val="0"/>
          <w:lang w:val="en-US"/>
        </w:rPr>
        <w:t xml:space="preserve">— </w:t>
      </w:r>
      <w:r>
        <w:rPr>
          <w:rFonts w:ascii="Verdana" w:hAnsi="Verdana"/>
          <w:rtl w:val="0"/>
          <w:lang w:val="en-US"/>
        </w:rPr>
        <w:t xml:space="preserve">externalization of cognitive content into durable media once a community's or a system's information load outruns the fidelity of its existing transmission channel </w:t>
      </w:r>
      <w:r>
        <w:rPr>
          <w:rFonts w:ascii="Verdana" w:hAnsi="Verdana" w:hint="default"/>
          <w:rtl w:val="0"/>
          <w:lang w:val="en-US"/>
        </w:rPr>
        <w:t xml:space="preserve">— </w:t>
      </w:r>
      <w:r>
        <w:rPr>
          <w:rFonts w:ascii="Verdana" w:hAnsi="Verdana"/>
          <w:rtl w:val="0"/>
          <w:lang w:val="en-US"/>
        </w:rPr>
        <w:t>is independently documented in the deep archaeological record across multiple regions, independently verified against physical geological data in a peer-reviewed historical-geographic methodology, independently theorized in the philosophy of mind literature decades before large language models existed, and independently redescribed, without coordination, by at least three separate technical and empirical literatures now building and studying AI memory architecture. That convergence, weighed criterion by criterion against Table 1 in Section 8 rather than accepted as a single package, is what this paper offers as evidence rather than metaphor.</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Where the fit is genuinely uneven </w:t>
      </w:r>
      <w:r>
        <w:rPr>
          <w:rFonts w:ascii="Verdana" w:hAnsi="Verdana" w:hint="default"/>
          <w:rtl w:val="0"/>
          <w:lang w:val="en-US"/>
        </w:rPr>
        <w:t xml:space="preserve">— </w:t>
      </w:r>
      <w:r>
        <w:rPr>
          <w:rFonts w:ascii="Verdana" w:hAnsi="Verdana"/>
          <w:rtl w:val="0"/>
          <w:lang w:val="en-US"/>
        </w:rPr>
        <w:t xml:space="preserve">the altered timescale of Criterion 1, the unresolved scope condition of Criterion 2, and above all the structurally unresolved status of Criterion 4 examined in Section 9 </w:t>
      </w:r>
      <w:r>
        <w:rPr>
          <w:rFonts w:ascii="Verdana" w:hAnsi="Verdana" w:hint="default"/>
          <w:rtl w:val="0"/>
          <w:lang w:val="en-US"/>
        </w:rPr>
        <w:t xml:space="preserve">— </w:t>
      </w:r>
      <w:r>
        <w:rPr>
          <w:rFonts w:ascii="Verdana" w:hAnsi="Verdana"/>
          <w:rtl w:val="0"/>
          <w:lang w:val="en-US"/>
        </w:rPr>
        <w:t>this paper has said so directly, because that is where the framework's next real test lies, and because a continuity claim that cannot name its own weakest point is not one that deserves to be believed. Whether artificial intelligence ultimately proves capable of the kind of persistence that oral tradition, monumental architecture, and written record have already demonstrated is not yet known. It is, this paper argues, the right question to be asking.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None of this requires believing that a Pleistocene toolmaker, a Negev forager, an Aboriginal storyteller, and a server running inference on a trained model are doing the same thing in any intuitive sense. They are not. What this paper has tried to show is narrower and more defensible: that a specific, identifiable pressure </w:t>
      </w:r>
      <w:r>
        <w:rPr>
          <w:rFonts w:ascii="Verdana" w:hAnsi="Verdana" w:hint="default"/>
          <w:rtl w:val="0"/>
          <w:lang w:val="en-US"/>
        </w:rPr>
        <w:t xml:space="preserve">— </w:t>
      </w:r>
      <w:r>
        <w:rPr>
          <w:rFonts w:ascii="Verdana" w:hAnsi="Verdana"/>
          <w:rtl w:val="0"/>
          <w:lang w:val="en-US"/>
        </w:rPr>
        <w:t xml:space="preserve">the point at which what a system needs to remember or coordinate exceeds what its existing channel can reliably hold </w:t>
      </w:r>
      <w:r>
        <w:rPr>
          <w:rFonts w:ascii="Verdana" w:hAnsi="Verdana" w:hint="default"/>
          <w:rtl w:val="0"/>
          <w:lang w:val="en-US"/>
        </w:rPr>
        <w:t xml:space="preserve">— </w:t>
      </w:r>
      <w:r>
        <w:rPr>
          <w:rFonts w:ascii="Verdana" w:hAnsi="Verdana"/>
          <w:rtl w:val="0"/>
          <w:lang w:val="en-US"/>
        </w:rPr>
        <w:t xml:space="preserve">has recurred across an unusually well-documented span of human history, that each recurrence produced a structurally similar response, and that the current response happens to be computational. Curiosity about how to keep what is known from being lost is, on the evidence gathered here, a considerably older and more constant feature of human behavior than any single medium used to satisfy it. Artificial intelligence is the newest attempt at an old and recurring project, not a departure from it </w:t>
      </w:r>
      <w:r>
        <w:rPr>
          <w:rFonts w:ascii="Verdana" w:hAnsi="Verdana" w:hint="default"/>
          <w:rtl w:val="0"/>
          <w:lang w:val="en-US"/>
        </w:rPr>
        <w:t xml:space="preserve">— </w:t>
      </w:r>
      <w:r>
        <w:rPr>
          <w:rFonts w:ascii="Verdana" w:hAnsi="Verdana"/>
          <w:rtl w:val="0"/>
          <w:lang w:val="en-US"/>
        </w:rPr>
        <w:t>and the paper's task, going forward, is to keep testing that claim against evidence rather than repeating it as a slogan.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b w:val="1"/>
          <w:bCs w:val="1"/>
          <w:sz w:val="28"/>
          <w:szCs w:val="28"/>
          <w:rtl w:val="0"/>
          <w:lang w:val="fr-FR"/>
        </w:rPr>
        <w:t>Bibliography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Chen, X., et al. (2026). Gradual Cognitive Externalization: From Modeling Cognition to Constituting It. arXiv:2604.04387.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Clark, A. (2008). Supersizing the Mind: Embodiment, Action, and Cognitive Extension. Oxford: Oxford University Press.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Clark, A., &amp; Chalmers, D. (1998). The Extended Mind. Analysis, 58(1), 7</w:t>
      </w:r>
      <w:r>
        <w:rPr>
          <w:rFonts w:ascii="Verdana" w:hAnsi="Verdana" w:hint="default"/>
          <w:rtl w:val="0"/>
        </w:rPr>
        <w:t>–</w:t>
      </w:r>
      <w:r>
        <w:rPr>
          <w:rFonts w:ascii="Verdana" w:hAnsi="Verdana"/>
          <w:rtl w:val="0"/>
        </w:rPr>
        <w:t>19.</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Dunbar, R. (2009). The Social Brain Hypothesis and Its Implications for Social Evolution. Annals of Human Biology, 36(5), 562</w:t>
      </w:r>
      <w:r>
        <w:rPr>
          <w:rFonts w:ascii="Verdana" w:hAnsi="Verdana" w:hint="default"/>
          <w:rtl w:val="0"/>
        </w:rPr>
        <w:t>–</w:t>
      </w:r>
      <w:r>
        <w:rPr>
          <w:rFonts w:ascii="Verdana" w:hAnsi="Verdana"/>
          <w:rtl w:val="0"/>
        </w:rPr>
        <w:t>572.</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Edeltin, L., Niespolo, E., Kracht, O. M., Alon, S., Amos, L., Friesem, D. E., Goder-Goldberger, M., Grono, E., Lavi, R., Porat, N., Schechter, H. C., Tejero, J.-M., Ujma, C., Wieler, N., &amp; Marder, O. (2026). Dawn of the Initial and Early Upper Paleolithic Blade Industries in the Levant: Mobility and Interactions as Reflected from Shualim Rockshelter, Israel. Journal of Human Evolution, 215</w:t>
      </w:r>
      <w:r>
        <w:rPr>
          <w:rFonts w:ascii="Verdana" w:hAnsi="Verdana" w:hint="default"/>
          <w:rtl w:val="0"/>
        </w:rPr>
        <w:t>–</w:t>
      </w:r>
      <w:r>
        <w:rPr>
          <w:rFonts w:ascii="Verdana" w:hAnsi="Verdana"/>
          <w:rtl w:val="0"/>
        </w:rPr>
        <w:t>216, 103846.</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Hamilton, M., Milne, B., Walker, R., Burger, O., &amp; Brown, J. (2007). The Complex Structure of Hunter-Gatherer Social Networks. Proceedings of the Royal Society B, 274, 2195</w:t>
      </w:r>
      <w:r>
        <w:rPr>
          <w:rFonts w:ascii="Verdana" w:hAnsi="Verdana" w:hint="default"/>
          <w:rtl w:val="0"/>
        </w:rPr>
        <w:t>–</w:t>
      </w:r>
      <w:r>
        <w:rPr>
          <w:rFonts w:ascii="Verdana" w:hAnsi="Verdana"/>
          <w:rtl w:val="0"/>
        </w:rPr>
        <w:t>2203.</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Henrich, J. (2015). The Secret of Our Success: How Culture Is Driving Human Evolution, Domesticating Our Species, and Making Us Smarter. Princeton: Princeton University Press.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Hutchins, E. (1995). Cognition in the Wild. Cambridge, MA: MIT Press.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Keen, I. (2018). Knowledge and Secrecy in an Aboriginal Religion. Oxford: Oxford University Press.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Large Language Models for Artificial General Intelligence (AGI): A Survey of Foundational Principles and Approaches. (2025). arXiv:2501.03151.</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Li, Z., et al. (2025). MemOS: A Memory Operating System for AI Systems. arXiv:2507.03724.</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Marean, C. W., Bar-Matthews, M., Fisher, E., Goldberg, P., Herries, A., Karkanas, P., Nilssen, P. J., &amp; Thompson, E. (2010). The Stratigraphy of the Middle Stone Age Sediments at Pinnacle Point Cave 13B (Mossel Bay, Western Cape Province, South Africa). Journal of Human Evolution, 59(3</w:t>
      </w:r>
      <w:r>
        <w:rPr>
          <w:rFonts w:ascii="Verdana" w:hAnsi="Verdana" w:hint="default"/>
          <w:rtl w:val="0"/>
        </w:rPr>
        <w:t>–</w:t>
      </w:r>
      <w:r>
        <w:rPr>
          <w:rFonts w:ascii="Verdana" w:hAnsi="Verdana"/>
          <w:rtl w:val="0"/>
        </w:rPr>
        <w:t>4), 234</w:t>
      </w:r>
      <w:r>
        <w:rPr>
          <w:rFonts w:ascii="Verdana" w:hAnsi="Verdana" w:hint="default"/>
          <w:rtl w:val="0"/>
        </w:rPr>
        <w:t>–</w:t>
      </w:r>
      <w:r>
        <w:rPr>
          <w:rFonts w:ascii="Verdana" w:hAnsi="Verdana"/>
          <w:rtl w:val="0"/>
        </w:rPr>
        <w:t>255.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Merlan, F. (2020). Explorations towards Intercultural Understanding in Australia. Journal of the Royal Anthropological Institute, 26(2), 225</w:t>
      </w:r>
      <w:r>
        <w:rPr>
          <w:rFonts w:ascii="Verdana" w:hAnsi="Verdana" w:hint="default"/>
          <w:rtl w:val="0"/>
        </w:rPr>
        <w:t>–</w:t>
      </w:r>
      <w:r>
        <w:rPr>
          <w:rFonts w:ascii="Verdana" w:hAnsi="Verdana"/>
          <w:rtl w:val="0"/>
        </w:rPr>
        <w:t>242.</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Nunn, P. D., &amp; Cunliffe, B. (2019). Go Tell It on the Mountain: Mythical Tales of Giants Are Rooted in Geological Realities.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Nunn, P. D., &amp; Reid, N. J. (2016). Aboriginal Memories of Inundation of the Australian Coast Dating from More than 7000 Years Ago. Australian Geographer, 47(1), 11</w:t>
      </w:r>
      <w:r>
        <w:rPr>
          <w:rFonts w:ascii="Verdana" w:hAnsi="Verdana" w:hint="default"/>
          <w:rtl w:val="0"/>
        </w:rPr>
        <w:t>–</w:t>
      </w:r>
      <w:r>
        <w:rPr>
          <w:rFonts w:ascii="Verdana" w:hAnsi="Verdana"/>
          <w:rtl w:val="0"/>
        </w:rPr>
        <w:t>47.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Operationalising Extended Cognition: Formal Metrics for Corporate Knowledge and Legal Accountability. (2025). arXiv:2510.16193.</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Pieruccini, P., Forti, L., Mecozzi, B., Iannucci, A., Yu, T.-L., Shen, C.-C., Bona, F., Lembo, G., Muttillo, B., Sardella, R., &amp; Mazzini, I. (2022). Stratigraphic Reassessment of Grotta Romanelli Sheds Light on Middle-Late Pleistocene Palaeoenvironments and Human Settling in the Mediterranean. Scientific Reports, 12, 13530.</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Risko, E. F., &amp; Gilbert, S. J. (2016). Cognitive Offloading. Trends in Cognitive Sciences, 20(9), 676</w:t>
      </w:r>
      <w:r>
        <w:rPr>
          <w:rFonts w:ascii="Verdana" w:hAnsi="Verdana" w:hint="default"/>
          <w:rtl w:val="0"/>
        </w:rPr>
        <w:t>–</w:t>
      </w:r>
      <w:r>
        <w:rPr>
          <w:rFonts w:ascii="Verdana" w:hAnsi="Verdana"/>
          <w:rtl w:val="0"/>
        </w:rPr>
        <w:t>688.</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Towards Large Language Models with Human-Like Episodic Memory. (2025). ScienceDirect.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Vondoom, A. (2025a). The Deep Symbolic Systems Model (DSSM) </w:t>
      </w:r>
      <w:r>
        <w:rPr>
          <w:rFonts w:ascii="Verdana" w:hAnsi="Verdana" w:hint="default"/>
          <w:rtl w:val="0"/>
        </w:rPr>
        <w:t xml:space="preserve">– </w:t>
      </w:r>
      <w:r>
        <w:rPr>
          <w:rFonts w:ascii="Verdana" w:hAnsi="Verdana"/>
          <w:rtl w:val="0"/>
          <w:lang w:val="it-IT"/>
        </w:rPr>
        <w:t>A Cognitive</w:t>
      </w:r>
      <w:r>
        <w:rPr>
          <w:rFonts w:ascii="Verdana" w:hAnsi="Verdana" w:hint="default"/>
          <w:rtl w:val="0"/>
        </w:rPr>
        <w:t>–</w:t>
      </w:r>
      <w:r>
        <w:rPr>
          <w:rFonts w:ascii="Verdana" w:hAnsi="Verdana"/>
          <w:rtl w:val="0"/>
          <w:lang w:val="en-US"/>
        </w:rPr>
        <w:t>Ritual Framework for Early Monumentality and Cultural Continuity. OSF. https://doi.org/10.17605/OSF.IO/MRZFU</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Vondoom, A. (2026a). Cognitive Continuities Across Human and AI DSSMs. [Superseded by this paper.]</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Vondoom, A. (2026d). Heritage-Based Alignment: Symbolic Offloading, Constraint Failure, and a Complementary Framework for AI Safety. Figshare. https://doi.org/10.6084/m9.figshare.32167590</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Vondoom, A. (2026e). Cognitive Foundations of Early Egyptian Civilization: Insights from the Deep Symbolic Systems Model (DSSM). IWNW, 6, 1</w:t>
      </w:r>
      <w:r>
        <w:rPr>
          <w:rFonts w:ascii="Verdana" w:hAnsi="Verdana" w:hint="default"/>
          <w:rtl w:val="0"/>
        </w:rPr>
        <w:t>–</w:t>
      </w:r>
      <w:r>
        <w:rPr>
          <w:rFonts w:ascii="Verdana" w:hAnsi="Verdana"/>
          <w:rtl w:val="0"/>
        </w:rPr>
        <w:t>46. https://doi.org/10.21608/iwnw.2026.464676.1075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Vondoom, A. (2026f). Technology as Fossilized Ritual: Extending the Deep Symbolic Systems Model Beyond Prehistory. Figshare. https://doi.org/10.6084/m9.figshare.31081438</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Vondoom, A. (2026g). From Symbols to Protocols: How Civilizational Trajectories Are Canalized by Deep Symbolic Systems. Figshare. https://doi.org/10.6084/m9.figshare.31081447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Wynn, T., &amp; Coolidge, F. L. (2004). The Expert Neandertal Mind. Journal of Human Evolution, 46, 467</w:t>
      </w:r>
      <w:r>
        <w:rPr>
          <w:rFonts w:ascii="Verdana" w:hAnsi="Verdana" w:hint="default"/>
          <w:rtl w:val="0"/>
        </w:rPr>
        <w:t>–</w:t>
      </w:r>
      <w:r>
        <w:rPr>
          <w:rFonts w:ascii="Verdana" w:hAnsi="Verdana"/>
          <w:rtl w:val="0"/>
        </w:rPr>
        <w:t>487.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Zhou, Y., et al. (2026). Externalization in LLM Agents: A Unified Review of Memory, Skills, Protocols and Harness Engineering. arXiv:2604.08224.</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it-IT"/>
        </w:rPr>
        <w:t>Zilio, L., Hammond, H., Karampaglidis, T., S</w:t>
      </w:r>
      <w:r>
        <w:rPr>
          <w:rFonts w:ascii="Verdana" w:hAnsi="Verdana" w:hint="default"/>
          <w:rtl w:val="0"/>
        </w:rPr>
        <w:t>á</w:t>
      </w:r>
      <w:r>
        <w:rPr>
          <w:rFonts w:ascii="Verdana" w:hAnsi="Verdana"/>
          <w:rtl w:val="0"/>
          <w:lang w:val="es-ES_tradnl"/>
        </w:rPr>
        <w:t>nchez-Romero, L., Blasco, R., Rivals, F., Ruf</w:t>
      </w:r>
      <w:r>
        <w:rPr>
          <w:rFonts w:ascii="Verdana" w:hAnsi="Verdana" w:hint="default"/>
          <w:rtl w:val="0"/>
        </w:rPr>
        <w:t>à</w:t>
      </w:r>
      <w:r>
        <w:rPr>
          <w:rFonts w:ascii="Verdana" w:hAnsi="Verdana"/>
          <w:rtl w:val="0"/>
          <w:lang w:val="es-ES_tradnl"/>
        </w:rPr>
        <w:t>, A., Picin, A., Chac</w:t>
      </w:r>
      <w:r>
        <w:rPr>
          <w:rFonts w:ascii="Verdana" w:hAnsi="Verdana" w:hint="default"/>
          <w:rtl w:val="0"/>
          <w:lang w:val="es-ES_tradnl"/>
        </w:rPr>
        <w:t>ó</w:t>
      </w:r>
      <w:r>
        <w:rPr>
          <w:rFonts w:ascii="Verdana" w:hAnsi="Verdana"/>
          <w:rtl w:val="0"/>
          <w:lang w:val="en-US"/>
        </w:rPr>
        <w:t>n, M. G., Demuro, M., Arnold, L. J., &amp; Rosell, J. (2021). Examining Neanderthal and Carnivore Occupations of Teixoneres Cave (Mo</w:t>
      </w:r>
      <w:r>
        <w:rPr>
          <w:rFonts w:ascii="Verdana" w:hAnsi="Verdana" w:hint="default"/>
          <w:rtl w:val="0"/>
        </w:rPr>
        <w:t>à</w:t>
      </w:r>
      <w:r>
        <w:rPr>
          <w:rFonts w:ascii="Verdana" w:hAnsi="Verdana"/>
          <w:rtl w:val="0"/>
          <w:lang w:val="en-US"/>
        </w:rPr>
        <w:t>, Barcelona, Spain) Using Archaeostratigraphic and Intra-Site Spatial Analysis. Scientific Reports, 11, 4339.</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sz w:val="20"/>
        <w:szCs w:val="20"/>
      </w:rPr>
      <w:fldChar w:fldCharType="begin" w:fldLock="0"/>
    </w:r>
    <w:r>
      <w:rPr>
        <w:rFonts w:ascii="Verdana" w:hAnsi="Verdana"/>
        <w:sz w:val="20"/>
        <w:szCs w:val="20"/>
      </w:rPr>
      <w:instrText xml:space="preserve"> PAGE </w:instrText>
    </w:r>
    <w:r>
      <w:rPr>
        <w:rFonts w:ascii="Verdana" w:hAnsi="Verdana"/>
        <w:sz w:val="20"/>
        <w:szCs w:val="20"/>
      </w:rPr>
      <w:fldChar w:fldCharType="separate" w:fldLock="0"/>
    </w:r>
    <w:r>
      <w:rPr>
        <w:rFonts w:ascii="Verdana" w:hAnsi="Verdana"/>
        <w:sz w:val="20"/>
        <w:szCs w:val="20"/>
      </w:rPr>
    </w:r>
    <w:r>
      <w:rPr>
        <w:rFonts w:ascii="Verdana" w:hAnsi="Verdana"/>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