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Fonts w:ascii="Verdana" w:hAnsi="Verdana"/>
          <w:b w:val="1"/>
          <w:bCs w:val="1"/>
          <w:outline w:val="0"/>
          <w:color w:val="000000"/>
          <w:sz w:val="32"/>
          <w:szCs w:val="32"/>
          <w:u w:color="000000"/>
          <w:rtl w:val="0"/>
          <w:lang w:val="en-US"/>
          <w14:textFill>
            <w14:solidFill>
              <w14:srgbClr w14:val="000000"/>
            </w14:solidFill>
          </w14:textFill>
        </w:rPr>
        <w:t>Geometric Inevitability and the Numerology Trap:</w:t>
      </w:r>
    </w:p>
    <w:p>
      <w:pPr>
        <w:pStyle w:val="Body"/>
        <w:bidi w:val="0"/>
      </w:pPr>
      <w:r>
        <w:rPr>
          <w:rFonts w:ascii="Verdana" w:hAnsi="Verdana"/>
          <w:outline w:val="0"/>
          <w:color w:val="000000"/>
          <w:sz w:val="26"/>
          <w:szCs w:val="26"/>
          <w:u w:color="000000"/>
          <w:rtl w:val="0"/>
          <w:lang w:val="en-US"/>
          <w14:textFill>
            <w14:solidFill>
              <w14:srgbClr w14:val="000000"/>
            </w14:solidFill>
          </w14:textFill>
        </w:rPr>
        <w:t>A Combinatorial Analysis of "Cosmic Encoding" Claims in Monumental Architecture, with Application to the Great Pyramid of Giza</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lang w:val="it-IT"/>
        </w:rPr>
        <w:t xml:space="preserve">Figshare </w:t>
      </w:r>
      <w:r>
        <w:rPr>
          <w:rStyle w:val="Hyperlink.0"/>
        </w:rPr>
        <w:fldChar w:fldCharType="begin" w:fldLock="0"/>
      </w:r>
      <w:r>
        <w:rPr>
          <w:rStyle w:val="Hyperlink.0"/>
        </w:rPr>
        <w:instrText xml:space="preserve"> HYPERLINK "https://doi.org/10.6084/m9.figshare.32956922"</w:instrText>
      </w:r>
      <w:r>
        <w:rPr>
          <w:rStyle w:val="Hyperlink.0"/>
        </w:rPr>
        <w:fldChar w:fldCharType="separate" w:fldLock="0"/>
      </w:r>
      <w:r>
        <w:rPr>
          <w:rStyle w:val="Hyperlink.0"/>
          <w:rtl w:val="0"/>
        </w:rPr>
        <w:t>https://doi.org/10.6084/m9.figshare.32956922</w:t>
      </w:r>
      <w:r>
        <w:rPr/>
        <w:fldChar w:fldCharType="end" w:fldLock="0"/>
      </w:r>
      <w:r>
        <w:rPr>
          <w:rtl w:val="0"/>
          <w:lang w:val="it-IT"/>
        </w:rPr>
        <w:t xml:space="preserve"> </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Fonts w:ascii="Verdana" w:hAnsi="Verdana"/>
          <w:b w:val="1"/>
          <w:bCs w:val="1"/>
          <w:outline w:val="0"/>
          <w:color w:val="000000"/>
          <w:sz w:val="24"/>
          <w:szCs w:val="24"/>
          <w:u w:color="000000"/>
          <w:rtl w:val="0"/>
          <w:lang w:val="en-US"/>
          <w14:textFill>
            <w14:solidFill>
              <w14:srgbClr w14:val="000000"/>
            </w14:solidFill>
          </w14:textFill>
        </w:rPr>
        <w:t>Anthony Vondoom</w:t>
      </w:r>
    </w:p>
    <w:p>
      <w:pPr>
        <w:pStyle w:val="Body"/>
        <w:bidi w:val="0"/>
      </w:pPr>
      <w:r>
        <w:rPr>
          <w:rFonts w:ascii="Verdana" w:hAnsi="Verdana"/>
          <w:outline w:val="0"/>
          <w:color w:val="000000"/>
          <w:sz w:val="20"/>
          <w:szCs w:val="20"/>
          <w:u w:color="000000"/>
          <w:rtl w:val="0"/>
          <w:lang w:val="en-US"/>
          <w14:textFill>
            <w14:solidFill>
              <w14:srgbClr w14:val="000000"/>
            </w14:solidFill>
          </w14:textFill>
        </w:rPr>
        <w:t>Independent Researcher</w:t>
      </w:r>
      <w:r>
        <w:rPr>
          <w:rFonts w:ascii="Verdana" w:hAnsi="Verdana"/>
          <w:outline w:val="0"/>
          <w:color w:val="000000"/>
          <w:sz w:val="20"/>
          <w:szCs w:val="20"/>
          <w:u w:color="000000"/>
          <w:rtl w:val="0"/>
          <w:lang w:val="it-IT"/>
          <w14:textFill>
            <w14:solidFill>
              <w14:srgbClr w14:val="000000"/>
            </w14:solidFill>
          </w14:textFill>
        </w:rPr>
        <w:t xml:space="preserve"> in Cognitive Archaeology </w:t>
      </w:r>
    </w:p>
    <w:p>
      <w:pPr>
        <w:pStyle w:val="Body"/>
        <w:bidi w:val="0"/>
      </w:pPr>
      <w:r>
        <w:rPr>
          <w:rFonts w:ascii="Verdana" w:hAnsi="Verdana"/>
          <w:outline w:val="0"/>
          <w:color w:val="000000"/>
          <w:sz w:val="20"/>
          <w:szCs w:val="20"/>
          <w:u w:color="000000"/>
          <w:rtl w:val="0"/>
          <w14:textFill>
            <w14:solidFill>
              <w14:srgbClr w14:val="000000"/>
            </w14:solidFill>
          </w14:textFill>
        </w:rPr>
        <w:t>ORCID: 0009-0003-4953-1427</w:t>
      </w:r>
    </w:p>
    <w:p>
      <w:pPr>
        <w:pStyle w:val="Body"/>
        <w:bidi w:val="0"/>
      </w:pPr>
      <w:r>
        <w:rPr>
          <w:rFonts w:ascii="Verdana" w:hAnsi="Verdana"/>
          <w:outline w:val="0"/>
          <w:color w:val="000000"/>
          <w:sz w:val="20"/>
          <w:szCs w:val="20"/>
          <w:u w:color="000000"/>
          <w:rtl w:val="0"/>
          <w:lang w:val="nl-NL"/>
          <w14:textFill>
            <w14:solidFill>
              <w14:srgbClr w14:val="000000"/>
            </w14:solidFill>
          </w14:textFill>
        </w:rPr>
        <w:t>anthony.vondoom@outlook.com</w:t>
      </w:r>
    </w:p>
    <w:p>
      <w:pPr>
        <w:pStyle w:val="Body"/>
        <w:bidi w:val="0"/>
      </w:pPr>
      <w:r>
        <w:rPr>
          <w:rStyle w:val="Hyperlink.0"/>
        </w:rPr>
        <w:fldChar w:fldCharType="begin" w:fldLock="0"/>
      </w:r>
      <w:r>
        <w:rPr>
          <w:rStyle w:val="Hyperlink.0"/>
        </w:rPr>
        <w:instrText xml:space="preserve"> HYPERLINK "http://www.dssm.academy"</w:instrText>
      </w:r>
      <w:r>
        <w:rPr>
          <w:rStyle w:val="Hyperlink.0"/>
        </w:rPr>
        <w:fldChar w:fldCharType="separate" w:fldLock="0"/>
      </w:r>
      <w:r>
        <w:rPr>
          <w:rStyle w:val="Hyperlink.0"/>
          <w:rtl w:val="0"/>
          <w:lang w:val="it-IT"/>
        </w:rPr>
        <w:t>www.dssm.academy</w:t>
      </w:r>
      <w:r>
        <w:rPr/>
        <w:fldChar w:fldCharType="end" w:fldLock="0"/>
      </w:r>
      <w:r>
        <w:rPr>
          <w:rFonts w:ascii="Verdana" w:hAnsi="Verdana"/>
          <w:i w:val="1"/>
          <w:iCs w:val="1"/>
          <w:outline w:val="0"/>
          <w:color w:val="595959"/>
          <w:sz w:val="20"/>
          <w:szCs w:val="20"/>
          <w:u w:color="595959"/>
          <w:rtl w:val="0"/>
          <w:lang w:val="it-IT"/>
          <w14:textFill>
            <w14:solidFill>
              <w14:srgbClr w14:val="595959"/>
            </w14:solidFill>
          </w14:textFill>
        </w:rPr>
        <w:t xml:space="preserve"> </w:t>
      </w:r>
    </w:p>
    <w:p>
      <w:pPr>
        <w:pStyle w:val="Body"/>
        <w:bidi w:val="0"/>
      </w:pPr>
      <w:r>
        <w:rPr>
          <w:rFonts w:ascii="Arial Unicode MS" w:cs="Arial Unicode MS" w:hAnsi="Arial Unicode MS" w:eastAsia="Arial Unicode MS"/>
          <w:b w:val="0"/>
          <w:bCs w:val="0"/>
          <w:i w:val="0"/>
          <w:iCs w:val="0"/>
        </w:rPr>
        <w:br w:type="page"/>
      </w:r>
    </w:p>
    <w:p>
      <w:pPr>
        <w:pStyle w:val="Heading"/>
        <w:spacing w:before="320" w:after="160"/>
      </w:pPr>
      <w:r>
        <w:rPr>
          <w:outline w:val="0"/>
          <w:color w:val="000000"/>
          <w:u w:color="000000"/>
          <w:rtl w:val="0"/>
          <w:lang w:val="de-DE"/>
          <w14:textFill>
            <w14:solidFill>
              <w14:srgbClr w14:val="000000"/>
            </w14:solidFill>
          </w14:textFill>
        </w:rPr>
        <w:t>Abstract</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 xml:space="preserve">Popular claims that ancient and classical monuments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most prominently the Great Pyramid of Giza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deliberately encode cosmic constants such as </w:t>
      </w:r>
      <w:r>
        <w:rPr>
          <w:b w:val="0"/>
          <w:bCs w:val="0"/>
          <w:outline w:val="0"/>
          <w:color w:val="000000"/>
          <w:sz w:val="22"/>
          <w:szCs w:val="22"/>
          <w:u w:color="000000"/>
          <w:rtl w:val="0"/>
          <w14:textFill>
            <w14:solidFill>
              <w14:srgbClr w14:val="000000"/>
            </w14:solidFill>
          </w14:textFill>
        </w:rPr>
        <w:t>π</w:t>
      </w:r>
      <w:r>
        <w:rPr>
          <w:b w:val="0"/>
          <w:bCs w:val="0"/>
          <w:outline w:val="0"/>
          <w:color w:val="000000"/>
          <w:sz w:val="22"/>
          <w:szCs w:val="22"/>
          <w:u w:color="000000"/>
          <w:rtl w:val="0"/>
          <w14:textFill>
            <w14:solidFill>
              <w14:srgbClr w14:val="000000"/>
            </w14:solidFill>
          </w14:textFill>
        </w:rPr>
        <w:t xml:space="preserve">, </w:t>
      </w:r>
      <w:r>
        <w:rPr>
          <w:b w:val="0"/>
          <w:bCs w:val="0"/>
          <w:outline w:val="0"/>
          <w:color w:val="000000"/>
          <w:sz w:val="22"/>
          <w:szCs w:val="22"/>
          <w:u w:color="000000"/>
          <w:rtl w:val="0"/>
          <w14:textFill>
            <w14:solidFill>
              <w14:srgbClr w14:val="000000"/>
            </w14:solidFill>
          </w14:textFill>
        </w:rPr>
        <w:t>φ</w:t>
      </w:r>
      <w:r>
        <w:rPr>
          <w:b w:val="0"/>
          <w:bCs w:val="0"/>
          <w:outline w:val="0"/>
          <w:color w:val="000000"/>
          <w:sz w:val="22"/>
          <w:szCs w:val="22"/>
          <w:u w:color="000000"/>
          <w:rtl w:val="0"/>
          <w:lang w:val="en-US"/>
          <w14:textFill>
            <w14:solidFill>
              <w14:srgbClr w14:val="000000"/>
            </w14:solidFill>
          </w14:textFill>
        </w:rPr>
        <w:t xml:space="preserve">, Earth's radius, or the speed of light are widespread in both legacy pyramidology and contemporary AI-generated media. This paper tests the underlying methodology of such claims directly. Using independently surveyed physical measurements for the Great Pyramid of Giza (N=29), the Colosseum (N=27), the Eiffel Tower (N=31), and Chartres Cathedral (N=14)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with derived quantities and rough estimates excluded to avoid inflating apparent matches through non-independence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an exhaustive combinatorial search was run against fourteen commonly cited cosmic constants. Real structures produced hit rates statistically indistinguishable from chance under two independent null models: a range-matched parametric (log-uniform) null (z = 0.68-1.19 across all four structures) and a nonparametric bootstrap null resampled from the pooled real measurements themselves (z = 0.18-0.55). This demonstrates that apparent numerical "encodings" are a predictable artifact of combinatorial search across any sufficiently measured structure, not evidence of intentional design. The paper separates this noise from Giza's one genuine, non-search-derived geometric relationship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the near-</w:t>
      </w:r>
      <w:r>
        <w:rPr>
          <w:b w:val="0"/>
          <w:bCs w:val="0"/>
          <w:outline w:val="0"/>
          <w:color w:val="000000"/>
          <w:sz w:val="22"/>
          <w:szCs w:val="22"/>
          <w:u w:color="000000"/>
          <w:rtl w:val="0"/>
          <w14:textFill>
            <w14:solidFill>
              <w14:srgbClr w14:val="000000"/>
            </w14:solidFill>
          </w14:textFill>
        </w:rPr>
        <w:t xml:space="preserve">φ </w:t>
      </w:r>
      <w:r>
        <w:rPr>
          <w:b w:val="0"/>
          <w:bCs w:val="0"/>
          <w:outline w:val="0"/>
          <w:color w:val="000000"/>
          <w:sz w:val="22"/>
          <w:szCs w:val="22"/>
          <w:u w:color="000000"/>
          <w:rtl w:val="0"/>
          <w:lang w:val="en-US"/>
          <w14:textFill>
            <w14:solidFill>
              <w14:srgbClr w14:val="000000"/>
            </w14:solidFill>
          </w14:textFill>
        </w:rPr>
        <w:t xml:space="preserve">ratio (0.033% deviation) arising directly from its independently measured slope angle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and situates this distinction within evidence for real Late Paleolithic and Predynastic Egyptian astronomical and cognitive capacity (Nabta Playa, c. 6100-4800 BCE), arguing that documented cognitive preconditions make sophisticated, intentional geometry and cardinal alignment at Giza plausible without requiring deliberate cosmic-constant encoding to explain either the pyramid's precision or its aesthetic ratios.</w:t>
      </w:r>
    </w:p>
    <w:p>
      <w:pPr>
        <w:pStyle w:val="Heading"/>
        <w:spacing w:before="320" w:after="160"/>
        <w:rPr>
          <w:b w:val="0"/>
          <w:bCs w:val="0"/>
          <w:i w:val="1"/>
          <w:iCs w:val="1"/>
        </w:rPr>
      </w:pPr>
      <w:r>
        <w:rPr>
          <w:outline w:val="0"/>
          <w:color w:val="000000"/>
          <w:sz w:val="22"/>
          <w:szCs w:val="22"/>
          <w:u w:color="000000"/>
          <w:rtl w:val="0"/>
          <w:lang w:val="en-US"/>
          <w14:textFill>
            <w14:solidFill>
              <w14:srgbClr w14:val="000000"/>
            </w14:solidFill>
          </w14:textFill>
        </w:rPr>
        <w:t xml:space="preserve">Keywords: </w:t>
      </w:r>
      <w:r>
        <w:rPr>
          <w:b w:val="0"/>
          <w:bCs w:val="0"/>
          <w:i w:val="1"/>
          <w:iCs w:val="1"/>
          <w:sz w:val="22"/>
          <w:szCs w:val="22"/>
          <w:rtl w:val="0"/>
          <w:lang w:val="en-US"/>
        </w:rPr>
        <w:t>Great Pyramid of Giza; combinatorial numerology; multiple comparisons problem; Nabta Playa; Deep Symbolic Systems Model; pseudo-archaeology; golden ratio; geometric inevitability</w:t>
      </w:r>
    </w:p>
    <w:p>
      <w:pPr>
        <w:pStyle w:val="Heading"/>
        <w:spacing w:before="320" w:after="160"/>
        <w:rPr>
          <w:b w:val="0"/>
          <w:bCs w:val="0"/>
          <w:i w:val="1"/>
          <w:iCs w:val="1"/>
        </w:rPr>
      </w:pPr>
    </w:p>
    <w:p>
      <w:pPr>
        <w:pStyle w:val="Heading"/>
        <w:spacing w:before="320" w:after="160"/>
        <w:rPr>
          <w:b w:val="0"/>
          <w:bCs w:val="0"/>
          <w:i w:val="1"/>
          <w:iCs w:val="1"/>
        </w:rPr>
      </w:pPr>
    </w:p>
    <w:p>
      <w:pPr>
        <w:pStyle w:val="Heading"/>
        <w:spacing w:before="320" w:after="160"/>
        <w:rPr>
          <w:b w:val="0"/>
          <w:bCs w:val="0"/>
          <w:i w:val="1"/>
          <w:iCs w:val="1"/>
        </w:rPr>
      </w:pPr>
    </w:p>
    <w:p>
      <w:pPr>
        <w:pStyle w:val="Heading"/>
        <w:spacing w:before="320" w:after="160"/>
        <w:rPr>
          <w:b w:val="0"/>
          <w:bCs w:val="0"/>
          <w:i w:val="1"/>
          <w:iCs w:val="1"/>
        </w:rPr>
      </w:pPr>
    </w:p>
    <w:p>
      <w:pPr>
        <w:pStyle w:val="Heading"/>
        <w:spacing w:before="320" w:after="160"/>
        <w:rPr>
          <w:b w:val="0"/>
          <w:bCs w:val="0"/>
          <w:i w:val="1"/>
          <w:iCs w:val="1"/>
        </w:rPr>
      </w:pPr>
    </w:p>
    <w:p>
      <w:pPr>
        <w:pStyle w:val="Heading"/>
        <w:spacing w:before="320" w:after="160"/>
        <w:rPr>
          <w:b w:val="0"/>
          <w:bCs w:val="0"/>
          <w:i w:val="1"/>
          <w:iCs w:val="1"/>
        </w:rPr>
      </w:pPr>
    </w:p>
    <w:p>
      <w:pPr>
        <w:pStyle w:val="Heading"/>
        <w:spacing w:before="320" w:after="160"/>
        <w:rPr>
          <w:b w:val="0"/>
          <w:bCs w:val="0"/>
          <w:i w:val="1"/>
          <w:iCs w:val="1"/>
        </w:rPr>
      </w:pPr>
    </w:p>
    <w:p>
      <w:pPr>
        <w:pStyle w:val="Heading"/>
        <w:spacing w:before="320" w:after="160"/>
      </w:pPr>
      <w:r>
        <w:rPr>
          <w:outline w:val="0"/>
          <w:color w:val="000000"/>
          <w:u w:color="000000"/>
          <w:rtl w:val="0"/>
          <w:lang w:val="fr-FR"/>
          <w14:textFill>
            <w14:solidFill>
              <w14:srgbClr w14:val="000000"/>
            </w14:solidFill>
          </w14:textFill>
        </w:rPr>
        <w:t>1. Introduction</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 xml:space="preserve">Claims that ancient monuments encode advanced cosmic knowledge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the speed of light, Earth's dimensions, precession cycles, or universal mathematical constants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recur across two centuries of pyramidology (Taylor 1859; Piazzi Smyth 1864) and have found a new distribution channel in 2026: short-form video content claiming that large language models, fed "every detail ever recorded" about a monument, have independently "revealed" its hidden design logic. Neither the older nor the newer version of this claim withstands methodological scrutiny, and this paper demonstrates why using a reproducible, quantitative test rather than assertion.</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 xml:space="preserve">The argument developed here is not that the Great Pyramid of Giza lacks genuine precision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it does not. Its base is level to within a few centimeters across 230 meters, its sides are oriented to true north within a fraction of a degree, and its faces are set to a consistent, deliberately chosen slope. These are real, well-attested engineering achievements. The claim under test is narrower and more specific: that beyond this attested precision, the pyramid's proportions were designed to deliberately encode unrelated cosmic constants such as the speed of light or Earth's polar radius. This paper shows that such claims are statistically indistinguishable from what pure chance produces when searching a sufficiently large set of measurements for coincidental matches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a finding demonstrated here not only for Giza but for three independent control structures spanning three further cultures and construction traditions, none carrying a numerological claims tradition comparable to Giza's: the Colosseum (Imperial Rome), the Eiffel Tower (industrial-era France), and Chartres Cathedral (High Gothic France).</w:t>
      </w:r>
    </w:p>
    <w:p>
      <w:pPr>
        <w:pStyle w:val="Heading"/>
        <w:spacing w:before="320" w:after="160"/>
      </w:pPr>
      <w:r>
        <w:rPr>
          <w:outline w:val="0"/>
          <w:color w:val="000000"/>
          <w:u w:color="000000"/>
          <w:rtl w:val="0"/>
          <w:lang w:val="en-US"/>
          <w14:textFill>
            <w14:solidFill>
              <w14:srgbClr w14:val="000000"/>
            </w14:solidFill>
          </w14:textFill>
        </w:rPr>
        <w:t>2. Background: Cognitive Preconditions in Predynastic and Early Dynastic Egypt</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A recurring rebuttal to alternative-history claims about Giza is to treat the pyramid's precision itself as inexplicable within a conventional timeline, and therefore as evidence for exotic explanations. This is not the position taken here. Substantial archaeological evidence places sophisticated observational astronomy and geometric practice in Egypt and the wider Sahara many millennia before the Fourth Dynasty (c. 2600 BCE).</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The Nabta Playa megalithic complex, located roughly 700 miles south of Giza, contains stone alignments marking the summer solstice sunrise and, per Malville and colleagues' foundational 1998 Nature report, cardinal and solstitial alignments consistent with early, deliberate astronomical observation. That report establishes a well-determined abandonment date of approximately 4,800 radiocarbon years before present, when a southward shift of the summer monsoon rendered the area hyperarid; construction of the ceremonial megalithic complex itself is generally placed in the millennium or so preceding that abandonment, with some researchers (following Brophy and Rosen's subsequent satellite-imagery remeasurement) proposing specific stellar alignments dated toward the earlier end of that window. This paper adopts the conservative, better-attested range of roughly 6100-4800 BCE for organized astronomical activity at the site, considerably later than the c. 9000 BCE figure sometimes seen in popular treatments (which appears to conflate the earliest human presence in the depression, following the region's monsoon-driven habitability roughly 11,000 years ago, with the much later megalithic construction phase itself). Even the conservative end of this range places organized, repeated astronomical observation in the region well over three thousand years before Giza's construction. This matters for the argument developed here: it establishes that the cognitive and technical toolkit required for precise cardinal orientation and systematic sky observation was present, tested, and culturally transmitted in the region long before the Fourth Dynasty, consistent with the Deep Symbolic Systems Model's account of Egypt's Axial-River/Stone-Anchor stabilization pathway, in which ritualized astronomical practice (Stage 2) precedes monumental externalization (Stage 3).</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 xml:space="preserve">This same cognitive-preconditions argument was developed in relation to Old Kingdom civilizational capacity in this author's peer-reviewed study of cognitive foundations of early Egyptian civilization (Vondoom 2026, IWNW). That paper's central claim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that Old Kingdom monumental achievement reflects the externalization of long-stabilized symbolic and technical practice rather than a sudden, unexplained leap in capability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is directly relevant here. A civilization with a multi-millennium observational astronomy tradition, a documented slope-measurement system (the seked, attested in the Rhind Mathematical Papyrus), and centuries of smaller-scale mastaba construction preceding the pyramid age had every cognitive precondition necessary to achieve Giza's true-north alignment and dimensional precision through ordinary, non-exotic methods. The question this paper addresses is separate and narrower: whether that same precision also required, or shows evidence of, deliberate encoding of unrelated cosmic ratios such as </w:t>
      </w:r>
      <w:r>
        <w:rPr>
          <w:b w:val="0"/>
          <w:bCs w:val="0"/>
          <w:outline w:val="0"/>
          <w:color w:val="000000"/>
          <w:sz w:val="22"/>
          <w:szCs w:val="22"/>
          <w:u w:color="000000"/>
          <w:rtl w:val="0"/>
          <w14:textFill>
            <w14:solidFill>
              <w14:srgbClr w14:val="000000"/>
            </w14:solidFill>
          </w14:textFill>
        </w:rPr>
        <w:t>π</w:t>
      </w:r>
      <w:r>
        <w:rPr>
          <w:b w:val="0"/>
          <w:bCs w:val="0"/>
          <w:outline w:val="0"/>
          <w:color w:val="000000"/>
          <w:sz w:val="22"/>
          <w:szCs w:val="22"/>
          <w:u w:color="000000"/>
          <w:rtl w:val="0"/>
          <w14:textFill>
            <w14:solidFill>
              <w14:srgbClr w14:val="000000"/>
            </w14:solidFill>
          </w14:textFill>
        </w:rPr>
        <w:t xml:space="preserve">, </w:t>
      </w:r>
      <w:r>
        <w:rPr>
          <w:b w:val="0"/>
          <w:bCs w:val="0"/>
          <w:outline w:val="0"/>
          <w:color w:val="000000"/>
          <w:sz w:val="22"/>
          <w:szCs w:val="22"/>
          <w:u w:color="000000"/>
          <w:rtl w:val="0"/>
          <w14:textFill>
            <w14:solidFill>
              <w14:srgbClr w14:val="000000"/>
            </w14:solidFill>
          </w14:textFill>
        </w:rPr>
        <w:t>φ</w:t>
      </w:r>
      <w:r>
        <w:rPr>
          <w:b w:val="0"/>
          <w:bCs w:val="0"/>
          <w:outline w:val="0"/>
          <w:color w:val="000000"/>
          <w:sz w:val="22"/>
          <w:szCs w:val="22"/>
          <w:u w:color="000000"/>
          <w:rtl w:val="0"/>
          <w:lang w:val="en-US"/>
          <w14:textFill>
            <w14:solidFill>
              <w14:srgbClr w14:val="000000"/>
            </w14:solidFill>
          </w14:textFill>
        </w:rPr>
        <w:t xml:space="preserve">, or the speed of light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a materially different and much stronger claim than precision or astronomical competence alone.</w:t>
      </w:r>
    </w:p>
    <w:p>
      <w:pPr>
        <w:pStyle w:val="Heading"/>
        <w:spacing w:before="320" w:after="160"/>
      </w:pPr>
      <w:r>
        <w:rPr>
          <w:outline w:val="0"/>
          <w:color w:val="000000"/>
          <w:u w:color="000000"/>
          <w:rtl w:val="0"/>
          <w:lang w:val="en-US"/>
          <w14:textFill>
            <w14:solidFill>
              <w14:srgbClr w14:val="000000"/>
            </w14:solidFill>
          </w14:textFill>
        </w:rPr>
        <w:t>3. The Numerology Problem: Geometric Inevitability</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Any structure built to a consistent slope angle will, by trigonometric necessity, produce ratios that approximate familiar mathematical constants. A face inclined at approximately 51.8 degrees yields a perimeter-to-height ratio close to 2</w:t>
      </w:r>
      <w:r>
        <w:rPr>
          <w:b w:val="0"/>
          <w:bCs w:val="0"/>
          <w:outline w:val="0"/>
          <w:color w:val="000000"/>
          <w:sz w:val="22"/>
          <w:szCs w:val="22"/>
          <w:u w:color="000000"/>
          <w:rtl w:val="0"/>
          <w14:textFill>
            <w14:solidFill>
              <w14:srgbClr w14:val="000000"/>
            </w14:solidFill>
          </w14:textFill>
        </w:rPr>
        <w:t xml:space="preserve">π </w:t>
      </w:r>
      <w:r>
        <w:rPr>
          <w:b w:val="0"/>
          <w:bCs w:val="0"/>
          <w:outline w:val="0"/>
          <w:color w:val="000000"/>
          <w:sz w:val="22"/>
          <w:szCs w:val="22"/>
          <w:u w:color="000000"/>
          <w:rtl w:val="0"/>
          <w:lang w:val="en-US"/>
          <w14:textFill>
            <w14:solidFill>
              <w14:srgbClr w14:val="000000"/>
            </w14:solidFill>
          </w14:textFill>
        </w:rPr>
        <w:t xml:space="preserve">and a slant-height-to-half-base ratio close to </w:t>
      </w:r>
      <w:r>
        <w:rPr>
          <w:b w:val="0"/>
          <w:bCs w:val="0"/>
          <w:outline w:val="0"/>
          <w:color w:val="000000"/>
          <w:sz w:val="22"/>
          <w:szCs w:val="22"/>
          <w:u w:color="000000"/>
          <w:rtl w:val="0"/>
          <w14:textFill>
            <w14:solidFill>
              <w14:srgbClr w14:val="000000"/>
            </w14:solidFill>
          </w14:textFill>
        </w:rPr>
        <w:t>φ</w:t>
      </w:r>
      <w:r>
        <w:rPr>
          <w:b w:val="0"/>
          <w:bCs w:val="0"/>
          <w:outline w:val="0"/>
          <w:color w:val="000000"/>
          <w:sz w:val="22"/>
          <w:szCs w:val="22"/>
          <w:u w:color="000000"/>
          <w:rtl w:val="0"/>
          <w:lang w:val="en-US"/>
          <w14:textFill>
            <w14:solidFill>
              <w14:srgbClr w14:val="000000"/>
            </w14:solidFill>
          </w14:textFill>
        </w:rPr>
        <w:t>, not because those constants were targeted, but because the tangent, sine, and cosine of angles in this range happen to fall near those values. This is a property of trigonometry applied to any structure at a comparable slope, independent of the builders' intent.</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 xml:space="preserve">The deeper methodological problem, and the one this paper tests directly, is combinatorial: any monument with a non-trivial number of measurable features (dimensions, counts, areas, angles) offers a correspondingly large space of possible pairwise arithmetic combinations. Searching this space against a list of well-known constants, with generous tolerance and permissive order-of-magnitude scaling, will discover apparent matches at a predictable, quantifiable rate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a manifestation of the multiple comparisons problem familiar from statistics, wherein testing many hypotheses simultaneously inflates the rate of false positives unless explicitly corrected for.</w:t>
      </w:r>
    </w:p>
    <w:p>
      <w:pPr>
        <w:pStyle w:val="Heading"/>
        <w:spacing w:before="320" w:after="160"/>
      </w:pPr>
      <w:r>
        <w:rPr>
          <w:outline w:val="0"/>
          <w:color w:val="000000"/>
          <w:u w:color="000000"/>
          <w:rtl w:val="0"/>
          <w:lang w:val="en-US"/>
          <w14:textFill>
            <w14:solidFill>
              <w14:srgbClr w14:val="000000"/>
            </w14:solidFill>
          </w14:textFill>
        </w:rPr>
        <w:t>4. Methodology</w:t>
      </w:r>
    </w:p>
    <w:p>
      <w:pPr>
        <w:pStyle w:val="Heading 2"/>
        <w:spacing w:before="240" w:after="120"/>
      </w:pPr>
      <w:r>
        <w:rPr>
          <w:outline w:val="0"/>
          <w:color w:val="000000"/>
          <w:u w:color="000000"/>
          <w:rtl w:val="0"/>
          <w:lang w:val="en-US"/>
          <w14:textFill>
            <w14:solidFill>
              <w14:srgbClr w14:val="000000"/>
            </w14:solidFill>
          </w14:textFill>
        </w:rPr>
        <w:t>4.1 Datasets and Measurement Independence</w:t>
      </w:r>
    </w:p>
    <w:p>
      <w:pPr>
        <w:pStyle w:val="Heading 2"/>
        <w:spacing w:before="240" w:after="120"/>
      </w:pPr>
      <w:r>
        <w:rPr>
          <w:outline w:val="0"/>
          <w:color w:val="000000"/>
          <w:sz w:val="22"/>
          <w:szCs w:val="22"/>
          <w:u w:color="000000"/>
          <w:rtl w:val="0"/>
          <w:lang w:val="en-US"/>
          <w14:textFill>
            <w14:solidFill>
              <w14:srgbClr w14:val="000000"/>
            </w14:solidFill>
          </w14:textFill>
        </w:rPr>
        <w:t>Four structures were selected: the Great Pyramid of Giza (Fourth Dynasty, c. 2600 BCE), the Colosseum (Flavian Amphitheatre, 70-80 CE), the Eiffel Tower (1889 CE), and Chartres Cathedral (High Gothic, 1194-1220 CE). The latter three serve as control cases spanning three additional cultures, eras, and construction traditions, none carrying a popular numerology claims tradition comparable to Giza's.</w:t>
      </w:r>
    </w:p>
    <w:p>
      <w:pPr>
        <w:pStyle w:val="Heading 2"/>
        <w:spacing w:before="240" w:after="120"/>
      </w:pPr>
      <w:r>
        <w:rPr>
          <w:outline w:val="0"/>
          <w:color w:val="000000"/>
          <w:sz w:val="22"/>
          <w:szCs w:val="22"/>
          <w:u w:color="000000"/>
          <w:rtl w:val="0"/>
          <w:lang w:val="en-US"/>
          <w14:textFill>
            <w14:solidFill>
              <w14:srgbClr w14:val="000000"/>
            </w14:solidFill>
          </w14:textFill>
        </w:rPr>
        <w:t>Each dataset is restricted to independently surveyed or independently reported physical measurements. No value included is an arithmetic function of another value already in the same dataset (e.g., a perimeter computed from a side length, or an ellipse area computed from its axes is excluded once the underlying side or axis measurements are already included), and rough archaeological estimates carrying unstated error margins (e.g., total block counts, aggregate weight estimates) are excluded from the primary analysis. This restriction matters because a derived quantity paired against its own source measurement is substantially more likely to produce a near-constant match than two genuinely independent measurements, which would inflate apparent hit counts in a way that misrepresents the search space in question. For Giza, this restriction yields 29 independent measurements, including the four base sides measured independently by Cole's 1925 triangulation survey (230.25 m, 230.45 m, 230.39 m, 230.36 m) rather than a single averaged base-side value, together with independently surveyed heights, the casing-stone slope angle, and all interior chamber, passage, and sarcophagus dimensions. For the Colosseum, Eiffel Tower, and Chartres Cathedral, the same restriction yields 27, 31, and 14 independent measurements respectively, reflecting genuine differences in how much independently documented physical detail survives in the published record for each monument. A secondary dataset for each structure (Tier 2) adds back derived quantities and rough estimates, reported separately as a sensitivity check (Section 5.5) rather than folded into the primary analysis.</w:t>
      </w:r>
    </w:p>
    <w:p>
      <w:pPr>
        <w:pStyle w:val="Heading 2"/>
        <w:spacing w:before="240" w:after="120"/>
      </w:pPr>
      <w:r>
        <w:rPr>
          <w:outline w:val="0"/>
          <w:color w:val="000000"/>
          <w:u w:color="000000"/>
          <w:rtl w:val="0"/>
          <w:lang w:val="en-US"/>
          <w14:textFill>
            <w14:solidFill>
              <w14:srgbClr w14:val="000000"/>
            </w14:solidFill>
          </w14:textFill>
        </w:rPr>
        <w:t>4.2 Search Procedure</w:t>
      </w:r>
    </w:p>
    <w:p>
      <w:pPr>
        <w:pStyle w:val="Heading 2"/>
        <w:spacing w:before="240" w:after="120"/>
      </w:pPr>
      <w:r>
        <w:rPr>
          <w:outline w:val="0"/>
          <w:color w:val="000000"/>
          <w:sz w:val="22"/>
          <w:szCs w:val="22"/>
          <w:u w:color="000000"/>
          <w:rtl w:val="0"/>
          <w:lang w:val="en-US"/>
          <w14:textFill>
            <w14:solidFill>
              <w14:srgbClr w14:val="000000"/>
            </w14:solidFill>
          </w14:textFill>
        </w:rPr>
        <w:t>For each structure's primary dataset, all pairwise combinations were combined using four elementary arithmetic operations (addition, subtraction, multiplication, division). Each result was compared, at nine order-of-magnitude scalings (</w:t>
      </w:r>
      <w:r>
        <w:rPr>
          <w:outline w:val="0"/>
          <w:color w:val="000000"/>
          <w:sz w:val="22"/>
          <w:szCs w:val="22"/>
          <w:u w:color="000000"/>
          <w:rtl w:val="0"/>
          <w14:textFill>
            <w14:solidFill>
              <w14:srgbClr w14:val="000000"/>
            </w14:solidFill>
          </w14:textFill>
        </w:rPr>
        <w:t>×</w:t>
      </w:r>
      <w:r>
        <w:rPr>
          <w:outline w:val="0"/>
          <w:color w:val="000000"/>
          <w:sz w:val="22"/>
          <w:szCs w:val="22"/>
          <w:u w:color="000000"/>
          <w:rtl w:val="0"/>
          <w14:textFill>
            <w14:solidFill>
              <w14:srgbClr w14:val="000000"/>
            </w14:solidFill>
          </w14:textFill>
        </w:rPr>
        <w:t xml:space="preserve">0.0001 to </w:t>
      </w:r>
      <w:r>
        <w:rPr>
          <w:outline w:val="0"/>
          <w:color w:val="000000"/>
          <w:sz w:val="22"/>
          <w:szCs w:val="22"/>
          <w:u w:color="000000"/>
          <w:rtl w:val="0"/>
          <w14:textFill>
            <w14:solidFill>
              <w14:srgbClr w14:val="000000"/>
            </w14:solidFill>
          </w14:textFill>
        </w:rPr>
        <w:t>×</w:t>
      </w:r>
      <w:r>
        <w:rPr>
          <w:outline w:val="0"/>
          <w:color w:val="000000"/>
          <w:sz w:val="22"/>
          <w:szCs w:val="22"/>
          <w:u w:color="000000"/>
          <w:rtl w:val="0"/>
          <w:lang w:val="en-US"/>
          <w14:textFill>
            <w14:solidFill>
              <w14:srgbClr w14:val="000000"/>
            </w14:solidFill>
          </w14:textFill>
        </w:rPr>
        <w:t>10,000), against fourteen commonly cited constants (</w:t>
      </w:r>
      <w:r>
        <w:rPr>
          <w:outline w:val="0"/>
          <w:color w:val="000000"/>
          <w:sz w:val="22"/>
          <w:szCs w:val="22"/>
          <w:u w:color="000000"/>
          <w:rtl w:val="0"/>
          <w14:textFill>
            <w14:solidFill>
              <w14:srgbClr w14:val="000000"/>
            </w14:solidFill>
          </w14:textFill>
        </w:rPr>
        <w:t>π</w:t>
      </w:r>
      <w:r>
        <w:rPr>
          <w:outline w:val="0"/>
          <w:color w:val="000000"/>
          <w:sz w:val="22"/>
          <w:szCs w:val="22"/>
          <w:u w:color="000000"/>
          <w:rtl w:val="0"/>
          <w14:textFill>
            <w14:solidFill>
              <w14:srgbClr w14:val="000000"/>
            </w14:solidFill>
          </w14:textFill>
        </w:rPr>
        <w:t xml:space="preserve">, </w:t>
      </w:r>
      <w:r>
        <w:rPr>
          <w:outline w:val="0"/>
          <w:color w:val="000000"/>
          <w:sz w:val="22"/>
          <w:szCs w:val="22"/>
          <w:u w:color="000000"/>
          <w:rtl w:val="0"/>
          <w14:textFill>
            <w14:solidFill>
              <w14:srgbClr w14:val="000000"/>
            </w14:solidFill>
          </w14:textFill>
        </w:rPr>
        <w:t>φ</w:t>
      </w:r>
      <w:r>
        <w:rPr>
          <w:outline w:val="0"/>
          <w:color w:val="000000"/>
          <w:sz w:val="22"/>
          <w:szCs w:val="22"/>
          <w:u w:color="000000"/>
          <w:rtl w:val="0"/>
          <w:lang w:val="en-US"/>
          <w14:textFill>
            <w14:solidFill>
              <w14:srgbClr w14:val="000000"/>
            </w14:solidFill>
          </w14:textFill>
        </w:rPr>
        <w:t xml:space="preserve">, the speed of light, Earth's radius and circumference, the astronomical unit, the lunar month, the precession cycle, and related figures), using a 2% match tolerance as the primary threshold, with a full sensitivity sweep from 0.5% to 5%. This produced 204,624 comparisons for Giza, 176,400 for the Colosseum, 233,604 for the Eiffel Tower, and 45,738 for Chartres Cathedral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comparison counts differing across structures because each structure's independent sample size differs, reflecting genuine differences in documentation depth rather than an arbitrarily fixed count.</w:t>
      </w:r>
    </w:p>
    <w:p>
      <w:pPr>
        <w:pStyle w:val="Heading 2"/>
        <w:spacing w:before="240" w:after="120"/>
      </w:pPr>
      <w:r>
        <w:rPr>
          <w:outline w:val="0"/>
          <w:color w:val="000000"/>
          <w:u w:color="000000"/>
          <w:rtl w:val="0"/>
          <w14:textFill>
            <w14:solidFill>
              <w14:srgbClr w14:val="000000"/>
            </w14:solidFill>
          </w14:textFill>
        </w:rPr>
        <w:t>4.3 Null Models</w:t>
      </w:r>
    </w:p>
    <w:p>
      <w:pPr>
        <w:pStyle w:val="Heading 2"/>
        <w:spacing w:before="240" w:after="120"/>
      </w:pPr>
      <w:r>
        <w:rPr>
          <w:outline w:val="0"/>
          <w:color w:val="000000"/>
          <w:sz w:val="22"/>
          <w:szCs w:val="22"/>
          <w:u w:color="000000"/>
          <w:rtl w:val="0"/>
          <w:lang w:val="en-US"/>
          <w14:textFill>
            <w14:solidFill>
              <w14:srgbClr w14:val="000000"/>
            </w14:solidFill>
          </w14:textFill>
        </w:rPr>
        <w:t>Two independent null models are used, so that the paper's conclusion does not rest on a single, potentially contestable assumption about the appropriate random-comparison distribution.</w:t>
      </w:r>
    </w:p>
    <w:p>
      <w:pPr>
        <w:pStyle w:val="Heading 2"/>
        <w:spacing w:before="240" w:after="120"/>
      </w:pPr>
      <w:r>
        <w:rPr>
          <w:outline w:val="0"/>
          <w:color w:val="000000"/>
          <w:sz w:val="22"/>
          <w:szCs w:val="22"/>
          <w:u w:color="000000"/>
          <w:rtl w:val="0"/>
          <w:lang w:val="en-US"/>
          <w14:textFill>
            <w14:solidFill>
              <w14:srgbClr w14:val="000000"/>
            </w14:solidFill>
          </w14:textFill>
        </w:rPr>
        <w:t>The first (parametric) null model draws synthetic measurement sets from a log-uniform distribution over the range spanning the minimum and maximum values actually observed across all four real datasets combined (0.15 to 2,500,000). For each structure, 1,000 synthetic structures matching that structure's own sample size were generated and processed through the identical search procedure.</w:t>
      </w:r>
    </w:p>
    <w:p>
      <w:pPr>
        <w:pStyle w:val="Heading 2"/>
        <w:spacing w:before="240" w:after="120"/>
      </w:pPr>
      <w:r>
        <w:rPr>
          <w:outline w:val="0"/>
          <w:color w:val="000000"/>
          <w:sz w:val="22"/>
          <w:szCs w:val="22"/>
          <w:u w:color="000000"/>
          <w:rtl w:val="0"/>
          <w:lang w:val="en-US"/>
          <w14:textFill>
            <w14:solidFill>
              <w14:srgbClr w14:val="000000"/>
            </w14:solidFill>
          </w14:textFill>
        </w:rPr>
        <w:t xml:space="preserve">The second (nonparametric) null model addresses the concern that log-uniformity, while range-matched, is still an assumed functional form rather than one derived from the real data's actual empirical distribution. This bootstrap null pools all 101 real Tier-1 measurements across all four structures into a single reference set, then constructs 1,000 synthetic "structures" per real structure by resampling with replacement from this pooled set at matching sample size. Because every value drawn is a genuinely observed architectural measurement, this null model requires no assumption about distributional shape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it only assumes that within-structure pairings are uninformative, which is the specific hypothesis under test. One assumption remains, and is noted rather than hidden: the pooled reference set is itself composed of these same four structures' measurements, so it is representative of independently-documented architectural measurements broadly construed, not a distribution derived independently of the structures being tested; a fully independent bootstrap reference (drawn from additional structures' measurements not otherwise used in this paper) would strengthen this further but was not pursued here given the sample sizes available.</w:t>
      </w:r>
    </w:p>
    <w:p>
      <w:pPr>
        <w:pStyle w:val="Heading"/>
        <w:spacing w:before="320" w:after="160"/>
      </w:pPr>
      <w:r>
        <w:rPr>
          <w:outline w:val="0"/>
          <w:color w:val="000000"/>
          <w:u w:color="000000"/>
          <w:rtl w:val="0"/>
          <w:lang w:val="en-US"/>
          <w14:textFill>
            <w14:solidFill>
              <w14:srgbClr w14:val="000000"/>
            </w14:solidFill>
          </w14:textFill>
        </w:rPr>
        <w:t>5. Results</w:t>
      </w:r>
    </w:p>
    <w:p>
      <w:pPr>
        <w:pStyle w:val="Heading 2"/>
        <w:spacing w:before="240" w:after="120"/>
      </w:pPr>
      <w:r>
        <w:rPr>
          <w:outline w:val="0"/>
          <w:color w:val="000000"/>
          <w:u w:color="000000"/>
          <w:rtl w:val="0"/>
          <w:lang w:val="en-US"/>
          <w14:textFill>
            <w14:solidFill>
              <w14:srgbClr w14:val="000000"/>
            </w14:solidFill>
          </w14:textFill>
        </w:rPr>
        <w:t>5.1 Primary Search Results</w:t>
      </w:r>
    </w:p>
    <w:p>
      <w:pPr>
        <w:pStyle w:val="Heading 2"/>
        <w:spacing w:before="240" w:after="120"/>
      </w:pPr>
      <w:r>
        <w:rPr>
          <w:outline w:val="0"/>
          <w:color w:val="000000"/>
          <w:sz w:val="22"/>
          <w:szCs w:val="22"/>
          <w:u w:color="000000"/>
          <w:rtl w:val="0"/>
          <w:lang w:val="en-US"/>
          <w14:textFill>
            <w14:solidFill>
              <w14:srgbClr w14:val="000000"/>
            </w14:solidFill>
          </w14:textFill>
        </w:rPr>
        <w:t>At the primary 2% tolerance threshold, using only independently surveyed measurements, all four real structures produced comparable hit rates despite differing sample sizes:</w:t>
      </w:r>
    </w:p>
    <w:tbl>
      <w:tblPr>
        <w:tblW w:w="86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00"/>
        <w:gridCol w:w="1600"/>
        <w:gridCol w:w="1600"/>
        <w:gridCol w:w="1400"/>
        <w:gridCol w:w="1400"/>
      </w:tblGrid>
      <w:tr>
        <w:tblPrEx>
          <w:shd w:val="clear" w:color="auto" w:fill="ced7e7"/>
        </w:tblPrEx>
        <w:trPr>
          <w:trHeight w:val="826"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b w:val="1"/>
                <w:bCs w:val="1"/>
                <w:sz w:val="20"/>
                <w:szCs w:val="20"/>
                <w:u w:color="000000"/>
                <w:shd w:val="nil" w:color="auto" w:fill="auto"/>
                <w:rtl w:val="0"/>
                <w:lang w:val="de-DE"/>
              </w:rPr>
              <w:t>Structure</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b w:val="1"/>
                <w:bCs w:val="1"/>
                <w:sz w:val="20"/>
                <w:szCs w:val="20"/>
                <w:u w:color="000000"/>
                <w:shd w:val="nil" w:color="auto" w:fill="auto"/>
                <w:rtl w:val="0"/>
                <w:lang w:val="pt-PT"/>
              </w:rPr>
              <w:t>N (independent)</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b w:val="1"/>
                <w:bCs w:val="1"/>
                <w:sz w:val="20"/>
                <w:szCs w:val="20"/>
                <w:u w:color="000000"/>
                <w:shd w:val="nil" w:color="auto" w:fill="auto"/>
                <w:rtl w:val="0"/>
                <w:lang w:val="fr-FR"/>
              </w:rPr>
              <w:t>Comparisons</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b w:val="1"/>
                <w:bCs w:val="1"/>
                <w:sz w:val="20"/>
                <w:szCs w:val="20"/>
                <w:u w:color="000000"/>
                <w:shd w:val="nil" w:color="auto" w:fill="auto"/>
                <w:rtl w:val="0"/>
                <w:lang w:val="en-US"/>
              </w:rPr>
              <w:t>Hits (</w:t>
            </w:r>
            <w:r>
              <w:rPr>
                <w:rFonts w:ascii="Verdana" w:hAnsi="Verdana" w:hint="default"/>
                <w:b w:val="1"/>
                <w:bCs w:val="1"/>
                <w:sz w:val="20"/>
                <w:szCs w:val="20"/>
                <w:u w:color="000000"/>
                <w:shd w:val="nil" w:color="auto" w:fill="auto"/>
                <w:rtl w:val="0"/>
              </w:rPr>
              <w:t>≤</w:t>
            </w:r>
            <w:r>
              <w:rPr>
                <w:rFonts w:ascii="Verdana" w:hAnsi="Verdana"/>
                <w:b w:val="1"/>
                <w:bCs w:val="1"/>
                <w:sz w:val="20"/>
                <w:szCs w:val="20"/>
                <w:u w:color="000000"/>
                <w:shd w:val="nil" w:color="auto" w:fill="auto"/>
                <w:rtl w:val="0"/>
              </w:rPr>
              <w:t>2%)</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b w:val="1"/>
                <w:bCs w:val="1"/>
                <w:sz w:val="20"/>
                <w:szCs w:val="20"/>
                <w:u w:color="000000"/>
                <w:shd w:val="nil" w:color="auto" w:fill="auto"/>
                <w:rtl w:val="0"/>
                <w:lang w:val="en-US"/>
              </w:rPr>
              <w:t>Hit Rate</w:t>
            </w:r>
          </w:p>
        </w:tc>
      </w:tr>
      <w:tr>
        <w:tblPrEx>
          <w:shd w:val="clear" w:color="auto" w:fill="ced7e7"/>
        </w:tblPrEx>
        <w:trPr>
          <w:trHeight w:val="250"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lang w:val="en-US"/>
              </w:rPr>
              <w:t>Great Pyramid of Giza</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29</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204,624</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lang w:val="ru-RU"/>
              </w:rPr>
              <w:t>374</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0.183%</w:t>
            </w:r>
          </w:p>
        </w:tc>
      </w:tr>
      <w:tr>
        <w:tblPrEx>
          <w:shd w:val="clear" w:color="auto" w:fill="ced7e7"/>
        </w:tblPrEx>
        <w:trPr>
          <w:trHeight w:val="250"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lang w:val="it-IT"/>
              </w:rPr>
              <w:t>Colosseum</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27</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lang w:val="en-US"/>
              </w:rPr>
              <w:t>176,400</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325</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0.184%</w:t>
            </w:r>
          </w:p>
        </w:tc>
      </w:tr>
      <w:tr>
        <w:tblPrEx>
          <w:shd w:val="clear" w:color="auto" w:fill="ced7e7"/>
        </w:tblPrEx>
        <w:trPr>
          <w:trHeight w:val="250"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lang w:val="de-DE"/>
              </w:rPr>
              <w:t>Eiffel Tower</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31</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233,604</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412</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0.176%</w:t>
            </w:r>
          </w:p>
        </w:tc>
      </w:tr>
      <w:tr>
        <w:tblPrEx>
          <w:shd w:val="clear" w:color="auto" w:fill="ced7e7"/>
        </w:tblPrEx>
        <w:trPr>
          <w:trHeight w:val="250" w:hRule="atLeast"/>
        </w:trPr>
        <w:tc>
          <w:tcPr>
            <w:tcW w:type="dxa" w:w="2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lang w:val="en-US"/>
              </w:rPr>
              <w:t>Chartres Cathedral</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14</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45,738</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81</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0.177%</w:t>
            </w:r>
          </w:p>
        </w:tc>
      </w:tr>
    </w:tbl>
    <w:p>
      <w:pPr>
        <w:pStyle w:val="Heading 2"/>
        <w:widowControl w:val="0"/>
        <w:spacing w:before="240" w:after="120"/>
      </w:pPr>
    </w:p>
    <w:p>
      <w:pPr>
        <w:pStyle w:val="Heading 2"/>
        <w:widowControl w:val="0"/>
        <w:spacing w:before="240" w:after="120"/>
      </w:pPr>
      <w:r>
        <w:rPr>
          <w:i w:val="1"/>
          <w:iCs w:val="1"/>
          <w:outline w:val="0"/>
          <w:color w:val="595959"/>
          <w:sz w:val="18"/>
          <w:szCs w:val="18"/>
          <w:u w:color="595959"/>
          <w:rtl w:val="0"/>
          <w:lang w:val="en-US"/>
          <w14:textFill>
            <w14:solidFill>
              <w14:srgbClr w14:val="595959"/>
            </w14:solidFill>
          </w14:textFill>
        </w:rPr>
        <w:t>Table 1. Combinatorial search results, independent measurements only, 2% tolerance.</w:t>
      </w:r>
    </w:p>
    <w:p>
      <w:pPr>
        <w:pStyle w:val="Heading 2"/>
        <w:spacing w:before="240" w:after="120"/>
      </w:pPr>
      <w:r>
        <w:rPr>
          <w:outline w:val="0"/>
          <w:color w:val="000000"/>
          <w:u w:color="000000"/>
          <w:rtl w:val="0"/>
          <w:lang w:val="it-IT"/>
          <w14:textFill>
            <w14:solidFill>
              <w14:srgbClr w14:val="000000"/>
            </w14:solidFill>
          </w14:textFill>
        </w:rPr>
        <w:t>5.2 Null Model Comparisons</w:t>
      </w:r>
    </w:p>
    <w:p>
      <w:pPr>
        <w:pStyle w:val="Heading 2"/>
        <w:spacing w:before="240" w:after="120"/>
      </w:pPr>
      <w:r>
        <w:rPr>
          <w:outline w:val="0"/>
          <w:color w:val="000000"/>
          <w:sz w:val="22"/>
          <w:szCs w:val="22"/>
          <w:u w:color="000000"/>
          <w:rtl w:val="0"/>
          <w:lang w:val="en-US"/>
          <w14:textFill>
            <w14:solidFill>
              <w14:srgbClr w14:val="000000"/>
            </w14:solidFill>
          </w14:textFill>
        </w:rPr>
        <w:t>Parametric null (log-uniform, range-matched): each structure was compared against its own 1,000-trial null model, generated at matching sample size from a log-uniform distribution matched to the true combined range of the real data (0.15 to 2,500,000):</w:t>
      </w:r>
    </w:p>
    <w:tbl>
      <w:tblPr>
        <w:tblW w:w="9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0"/>
        <w:gridCol w:w="1800"/>
        <w:gridCol w:w="2000"/>
        <w:gridCol w:w="1000"/>
        <w:gridCol w:w="1400"/>
      </w:tblGrid>
      <w:tr>
        <w:tblPrEx>
          <w:shd w:val="clear" w:color="auto" w:fill="ced7e7"/>
        </w:tblPrEx>
        <w:trPr>
          <w:trHeight w:val="250" w:hRule="atLeast"/>
        </w:trPr>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b w:val="1"/>
                <w:bCs w:val="1"/>
                <w:sz w:val="20"/>
                <w:szCs w:val="20"/>
                <w:u w:color="000000"/>
                <w:shd w:val="nil" w:color="auto" w:fill="auto"/>
                <w:rtl w:val="0"/>
                <w:lang w:val="de-DE"/>
              </w:rPr>
              <w:t>Structure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b w:val="1"/>
                <w:bCs w:val="1"/>
                <w:sz w:val="20"/>
                <w:szCs w:val="20"/>
                <w:u w:color="000000"/>
                <w:shd w:val="nil" w:color="auto" w:fill="auto"/>
                <w:rtl w:val="0"/>
                <w:lang w:val="en-US"/>
              </w:rPr>
              <w:t>Observed Hits</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b w:val="1"/>
                <w:bCs w:val="1"/>
                <w:sz w:val="20"/>
                <w:szCs w:val="20"/>
                <w:u w:color="000000"/>
                <w:shd w:val="nil" w:color="auto" w:fill="auto"/>
                <w:rtl w:val="0"/>
                <w:lang w:val="en-US"/>
              </w:rPr>
              <w:t>Null Mean (SD)</w:t>
            </w:r>
          </w:p>
        </w:tc>
        <w:tc>
          <w:tcPr>
            <w:tcW w:type="dxa" w:w="1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b w:val="1"/>
                <w:bCs w:val="1"/>
                <w:sz w:val="20"/>
                <w:szCs w:val="20"/>
                <w:u w:color="000000"/>
                <w:shd w:val="nil" w:color="auto" w:fill="auto"/>
                <w:rtl w:val="0"/>
              </w:rPr>
              <w:t>CV</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b w:val="1"/>
                <w:bCs w:val="1"/>
                <w:sz w:val="20"/>
                <w:szCs w:val="20"/>
                <w:u w:color="000000"/>
                <w:shd w:val="nil" w:color="auto" w:fill="auto"/>
                <w:rtl w:val="0"/>
              </w:rPr>
              <w:t>z-score</w:t>
            </w:r>
          </w:p>
        </w:tc>
      </w:tr>
      <w:tr>
        <w:tblPrEx>
          <w:shd w:val="clear" w:color="auto" w:fill="ced7e7"/>
        </w:tblPrEx>
        <w:trPr>
          <w:trHeight w:val="250" w:hRule="atLeast"/>
        </w:trPr>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lang w:val="en-US"/>
              </w:rPr>
              <w:t>Great Pyramid of Giza</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lang w:val="ru-RU"/>
              </w:rPr>
              <w:t>374</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298.6 (63.9)</w:t>
            </w:r>
          </w:p>
        </w:tc>
        <w:tc>
          <w:tcPr>
            <w:tcW w:type="dxa" w:w="1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0.21</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1.18</w:t>
            </w:r>
          </w:p>
        </w:tc>
      </w:tr>
      <w:tr>
        <w:tblPrEx>
          <w:shd w:val="clear" w:color="auto" w:fill="ced7e7"/>
        </w:tblPrEx>
        <w:trPr>
          <w:trHeight w:val="250" w:hRule="atLeast"/>
        </w:trPr>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lang w:val="it-IT"/>
              </w:rPr>
              <w:t>Colosseum</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325</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258.8 (55.7)</w:t>
            </w:r>
          </w:p>
        </w:tc>
        <w:tc>
          <w:tcPr>
            <w:tcW w:type="dxa" w:w="1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0.22</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1.19</w:t>
            </w:r>
          </w:p>
        </w:tc>
      </w:tr>
      <w:tr>
        <w:tblPrEx>
          <w:shd w:val="clear" w:color="auto" w:fill="ced7e7"/>
        </w:tblPrEx>
        <w:trPr>
          <w:trHeight w:val="250" w:hRule="atLeast"/>
        </w:trPr>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lang w:val="de-DE"/>
              </w:rPr>
              <w:t>Eiffel Tower</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412</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lang w:val="it-IT"/>
              </w:rPr>
              <w:t>337.9 (63.0)</w:t>
            </w:r>
          </w:p>
        </w:tc>
        <w:tc>
          <w:tcPr>
            <w:tcW w:type="dxa" w:w="1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0.19</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1.18</w:t>
            </w:r>
          </w:p>
        </w:tc>
      </w:tr>
      <w:tr>
        <w:tblPrEx>
          <w:shd w:val="clear" w:color="auto" w:fill="ced7e7"/>
        </w:tblPrEx>
        <w:trPr>
          <w:trHeight w:val="250" w:hRule="atLeast"/>
        </w:trPr>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lang w:val="en-US"/>
              </w:rPr>
              <w:t>Chartres Cathedral</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81</w:t>
            </w:r>
          </w:p>
        </w:tc>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67.3 (20.2)</w:t>
            </w:r>
          </w:p>
        </w:tc>
        <w:tc>
          <w:tcPr>
            <w:tcW w:type="dxa" w:w="1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0.30</w:t>
            </w:r>
          </w:p>
        </w:tc>
        <w:tc>
          <w:tcPr>
            <w:tcW w:type="dxa" w:w="1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left"/>
              <w:rPr>
                <w:rtl w:val="0"/>
              </w:rPr>
            </w:pPr>
            <w:r>
              <w:rPr>
                <w:rFonts w:ascii="Verdana" w:hAnsi="Verdana"/>
                <w:sz w:val="20"/>
                <w:szCs w:val="20"/>
                <w:u w:color="000000"/>
                <w:shd w:val="nil" w:color="auto" w:fill="auto"/>
                <w:rtl w:val="0"/>
              </w:rPr>
              <w:t>0.68</w:t>
            </w:r>
          </w:p>
        </w:tc>
      </w:tr>
    </w:tbl>
    <w:p>
      <w:pPr>
        <w:pStyle w:val="Heading 2"/>
        <w:widowControl w:val="0"/>
        <w:spacing w:before="240" w:after="120"/>
      </w:pPr>
    </w:p>
    <w:p>
      <w:pPr>
        <w:pStyle w:val="Heading 2"/>
        <w:widowControl w:val="0"/>
        <w:spacing w:before="240" w:after="120"/>
      </w:pPr>
      <w:r>
        <w:rPr>
          <w:i w:val="1"/>
          <w:iCs w:val="1"/>
          <w:outline w:val="0"/>
          <w:color w:val="595959"/>
          <w:sz w:val="18"/>
          <w:szCs w:val="18"/>
          <w:u w:color="595959"/>
          <w:rtl w:val="0"/>
          <w:lang w:val="en-US"/>
          <w14:textFill>
            <w14:solidFill>
              <w14:srgbClr w14:val="595959"/>
            </w14:solidFill>
          </w14:textFill>
        </w:rPr>
        <w:t>Table 2a. Real structures vs. structure-specific, range-matched log-uniform null models. CV = coefficient of variation (null SD / null mean), reported because Chartres's smaller sample size (N=14) gives it a noisier null distribution in relative terms (CV=0.30) than the other three structures (CV=0.19-0.22); this means Chartres's z-score, while still comfortably non-significant, is being computed against a less precisely estimated null and should be read with that in mind rather than compared to the other three z-scores as if all four rest on equally precise null estimates.</w:t>
      </w:r>
    </w:p>
    <w:p>
      <w:pPr>
        <w:pStyle w:val="Heading 2"/>
        <w:widowControl w:val="0"/>
        <w:spacing w:before="240" w:after="120"/>
      </w:pPr>
      <w:r>
        <w:rPr>
          <w:outline w:val="0"/>
          <w:color w:val="000000"/>
          <w:sz w:val="22"/>
          <w:szCs w:val="22"/>
          <w:u w:color="000000"/>
          <w:rtl w:val="0"/>
          <w:lang w:val="en-US"/>
          <w14:textFill>
            <w14:solidFill>
              <w14:srgbClr w14:val="000000"/>
            </w14:solidFill>
          </w14:textFill>
        </w:rPr>
        <w:t>Nonparametric bootstrap null (pooled real measurements, resampled): to verify the result does not depend on the log-uniform functional form, a second null model was built by pooling all 101 real measurements across all four structures and resampling with replacement at matching sample size, producing synthetic "structures" composed entirely of genuinely observed architectural values with within-structure relationships broken:</w:t>
      </w:r>
    </w:p>
    <w:tbl>
      <w:tblPr>
        <w:tblW w:w="96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00"/>
        <w:gridCol w:w="2200"/>
        <w:gridCol w:w="2800"/>
        <w:gridCol w:w="1600"/>
      </w:tblGrid>
      <w:tr>
        <w:tblPrEx>
          <w:shd w:val="clear" w:color="auto" w:fill="ced7e7"/>
        </w:tblPrEx>
        <w:trPr>
          <w:trHeight w:val="538" w:hRule="atLeast"/>
        </w:trPr>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Verdana" w:hAnsi="Verdana"/>
                <w:b w:val="1"/>
                <w:bCs w:val="1"/>
                <w:sz w:val="20"/>
                <w:szCs w:val="20"/>
                <w:u w:color="000000"/>
                <w:shd w:val="nil" w:color="auto" w:fill="auto"/>
                <w:rtl w:val="0"/>
                <w:lang w:val="de-DE"/>
              </w:rPr>
              <w:t>Structure</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b w:val="1"/>
                <w:bCs w:val="1"/>
                <w:sz w:val="20"/>
                <w:szCs w:val="20"/>
                <w:u w:color="000000"/>
                <w:shd w:val="nil" w:color="auto" w:fill="auto"/>
                <w:rtl w:val="0"/>
                <w:lang w:val="en-US"/>
              </w:rPr>
              <w:t>Observed Hits</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b w:val="1"/>
                <w:bCs w:val="1"/>
                <w:sz w:val="20"/>
                <w:szCs w:val="20"/>
                <w:u w:color="000000"/>
                <w:shd w:val="nil" w:color="auto" w:fill="auto"/>
                <w:rtl w:val="0"/>
                <w:lang w:val="nl-NL"/>
              </w:rPr>
              <w:t>Bootstrap Null Mean (SD)</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b w:val="1"/>
                <w:bCs w:val="1"/>
                <w:sz w:val="20"/>
                <w:szCs w:val="20"/>
                <w:u w:color="000000"/>
                <w:shd w:val="nil" w:color="auto" w:fill="auto"/>
                <w:rtl w:val="0"/>
              </w:rPr>
              <w:t>z-score</w:t>
            </w:r>
          </w:p>
        </w:tc>
      </w:tr>
      <w:tr>
        <w:tblPrEx>
          <w:shd w:val="clear" w:color="auto" w:fill="ced7e7"/>
        </w:tblPrEx>
        <w:trPr>
          <w:trHeight w:val="250" w:hRule="atLeast"/>
        </w:trPr>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Verdana" w:hAnsi="Verdana"/>
                <w:sz w:val="20"/>
                <w:szCs w:val="20"/>
                <w:u w:color="000000"/>
                <w:shd w:val="nil" w:color="auto" w:fill="auto"/>
                <w:rtl w:val="0"/>
                <w:lang w:val="en-US"/>
              </w:rPr>
              <w:t>Great Pyramid of Giza</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lang w:val="ru-RU"/>
              </w:rPr>
              <w:t>374</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rPr>
              <w:t>349.5 (44.6)</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0.55</w:t>
            </w:r>
          </w:p>
        </w:tc>
      </w:tr>
      <w:tr>
        <w:tblPrEx>
          <w:shd w:val="clear" w:color="auto" w:fill="ced7e7"/>
        </w:tblPrEx>
        <w:trPr>
          <w:trHeight w:val="250" w:hRule="atLeast"/>
        </w:trPr>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Verdana" w:hAnsi="Verdana"/>
                <w:sz w:val="20"/>
                <w:szCs w:val="20"/>
                <w:u w:color="000000"/>
                <w:shd w:val="nil" w:color="auto" w:fill="auto"/>
                <w:rtl w:val="0"/>
                <w:lang w:val="it-IT"/>
              </w:rPr>
              <w:t>Colosseum</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rPr>
              <w:t>325</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rPr>
              <w:t>303.5 (39.9)</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0.54</w:t>
            </w:r>
          </w:p>
        </w:tc>
      </w:tr>
      <w:tr>
        <w:tblPrEx>
          <w:shd w:val="clear" w:color="auto" w:fill="ced7e7"/>
        </w:tblPrEx>
        <w:trPr>
          <w:trHeight w:val="250" w:hRule="atLeast"/>
        </w:trPr>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Verdana" w:hAnsi="Verdana"/>
                <w:sz w:val="20"/>
                <w:szCs w:val="20"/>
                <w:u w:color="000000"/>
                <w:shd w:val="nil" w:color="auto" w:fill="auto"/>
                <w:rtl w:val="0"/>
                <w:lang w:val="de-DE"/>
              </w:rPr>
              <w:t>Eiffel Tower</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rPr>
              <w:t>412</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rPr>
              <w:t>398.2 (49.8)</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0.28</w:t>
            </w:r>
          </w:p>
        </w:tc>
      </w:tr>
      <w:tr>
        <w:tblPrEx>
          <w:shd w:val="clear" w:color="auto" w:fill="ced7e7"/>
        </w:tblPrEx>
        <w:trPr>
          <w:trHeight w:val="250" w:hRule="atLeast"/>
        </w:trPr>
        <w:tc>
          <w:tcPr>
            <w:tcW w:type="dxa" w:w="3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left"/>
              <w:rPr>
                <w:rtl w:val="0"/>
              </w:rPr>
            </w:pPr>
            <w:r>
              <w:rPr>
                <w:rFonts w:ascii="Verdana" w:hAnsi="Verdana"/>
                <w:sz w:val="20"/>
                <w:szCs w:val="20"/>
                <w:u w:color="000000"/>
                <w:shd w:val="nil" w:color="auto" w:fill="auto"/>
                <w:rtl w:val="0"/>
                <w:lang w:val="en-US"/>
              </w:rPr>
              <w:t>Chartres Cathedral</w:t>
            </w:r>
          </w:p>
        </w:tc>
        <w:tc>
          <w:tcPr>
            <w:tcW w:type="dxa" w:w="2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rPr>
              <w:t>81</w:t>
            </w:r>
          </w:p>
        </w:tc>
        <w:tc>
          <w:tcPr>
            <w:tcW w:type="dxa" w:w="2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left"/>
              <w:rPr>
                <w:rtl w:val="0"/>
              </w:rPr>
            </w:pPr>
            <w:r>
              <w:rPr>
                <w:rFonts w:ascii="Verdana" w:hAnsi="Verdana"/>
                <w:sz w:val="20"/>
                <w:szCs w:val="20"/>
                <w:u w:color="000000"/>
                <w:shd w:val="nil" w:color="auto" w:fill="auto"/>
                <w:rtl w:val="0"/>
              </w:rPr>
              <w:t>78.2 (15.3)</w:t>
            </w:r>
          </w:p>
        </w:tc>
        <w:tc>
          <w:tcPr>
            <w:tcW w:type="dxa" w:w="16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0.18</w:t>
            </w:r>
          </w:p>
        </w:tc>
      </w:tr>
    </w:tbl>
    <w:p>
      <w:pPr>
        <w:pStyle w:val="Heading 2"/>
        <w:widowControl w:val="0"/>
        <w:spacing w:before="240" w:after="120"/>
      </w:pPr>
    </w:p>
    <w:p>
      <w:pPr>
        <w:pStyle w:val="Heading 2"/>
        <w:widowControl w:val="0"/>
        <w:spacing w:before="240" w:after="120"/>
      </w:pPr>
      <w:r>
        <w:rPr>
          <w:i w:val="1"/>
          <w:iCs w:val="1"/>
          <w:outline w:val="0"/>
          <w:color w:val="595959"/>
          <w:sz w:val="18"/>
          <w:szCs w:val="18"/>
          <w:u w:color="595959"/>
          <w:rtl w:val="0"/>
          <w:lang w:val="en-US"/>
          <w14:textFill>
            <w14:solidFill>
              <w14:srgbClr w14:val="595959"/>
            </w14:solidFill>
          </w14:textFill>
        </w:rPr>
        <w:t>Table 2b. Real structures vs. bootstrap null (resampled from the pooled real measurement pool). Lower z-scores here than in Table 2a indicate the parametric null's log-uniform assumption was, if anything, slightly conservative, not inflated.</w:t>
      </w:r>
    </w:p>
    <w:p>
      <w:pPr>
        <w:pStyle w:val="Heading 2"/>
        <w:widowControl w:val="0"/>
        <w:spacing w:before="240" w:after="120"/>
      </w:pPr>
      <w:r>
        <w:rPr>
          <w:outline w:val="0"/>
          <w:color w:val="000000"/>
          <w:sz w:val="22"/>
          <w:szCs w:val="22"/>
          <w:u w:color="000000"/>
          <w:rtl w:val="0"/>
          <w:lang w:val="en-US"/>
          <w14:textFill>
            <w14:solidFill>
              <w14:srgbClr w14:val="000000"/>
            </w14:solidFill>
          </w14:textFill>
        </w:rPr>
        <w:t xml:space="preserve">All eight z-scores across both null models and all four structures fall well within conventional non-significance bounds (|z| &lt; 2). A pattern worth noting explicitly: every z-score in both tables is positive rather than symmetrically distributed around zero. Individually this is unremarkable (the largest, z=1.19, corresponds to a one-tailed p of approximately 0.12), but a consistent small positive offset across eight independent tests is a pattern a careful reader may notice. The most plausible explanation is the residual weak correlation flagged in Section 6.4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 xml:space="preserve">several measurements within each real structure share underlying construction or survey batches (for instance, the Colosseum's ground-floor arch dimensions, or Chartres's crossing-pier rectangle sides) in ways not captured by excluding only exact deterministic relationships, and such correlation would be expected to push real hit-counts marginally, not dramatically, above a null built from either independent random draws or resampled-but-uncorrelated real values. This is consistent with, and does not undermine, the paper's central conclusion: none of the four structures approaches conventional significance under either null model, and the bootstrap null (Table 2b)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 xml:space="preserve">arguably the more conservative test, since it uses genuinely observed architectural values rather than a parametric assumption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produces even smaller offsets than the parametric null.</w:t>
      </w:r>
    </w:p>
    <w:p>
      <w:pPr>
        <w:pStyle w:val="Heading 2"/>
        <w:spacing w:before="240" w:after="120"/>
      </w:pPr>
      <w:r>
        <w:rPr>
          <w:outline w:val="0"/>
          <w:color w:val="000000"/>
          <w:u w:color="000000"/>
          <w:rtl w:val="0"/>
          <w:lang w:val="fr-FR"/>
          <w14:textFill>
            <w14:solidFill>
              <w14:srgbClr w14:val="000000"/>
            </w14:solidFill>
          </w14:textFill>
        </w:rPr>
        <w:t>5.3 Multiple-Comparisons Correction</w:t>
      </w:r>
    </w:p>
    <w:p>
      <w:pPr>
        <w:pStyle w:val="Heading 2"/>
        <w:spacing w:before="240" w:after="120"/>
      </w:pPr>
      <w:r>
        <w:rPr>
          <w:outline w:val="0"/>
          <w:color w:val="000000"/>
          <w:sz w:val="22"/>
          <w:szCs w:val="22"/>
          <w:u w:color="000000"/>
          <w:rtl w:val="0"/>
          <w:lang w:val="en-US"/>
          <w14:textFill>
            <w14:solidFill>
              <w14:srgbClr w14:val="000000"/>
            </w14:solidFill>
          </w14:textFill>
        </w:rPr>
        <w:t xml:space="preserve">Bonferroni-correcting for the size of each structure's own search space yields required per-comparison significance thresholds of </w:t>
      </w:r>
      <w:r>
        <w:rPr>
          <w:outline w:val="0"/>
          <w:color w:val="000000"/>
          <w:sz w:val="22"/>
          <w:szCs w:val="22"/>
          <w:u w:color="000000"/>
          <w:rtl w:val="0"/>
          <w14:textFill>
            <w14:solidFill>
              <w14:srgbClr w14:val="000000"/>
            </w14:solidFill>
          </w14:textFill>
        </w:rPr>
        <w:t xml:space="preserve">α </w:t>
      </w:r>
      <w:r>
        <w:rPr>
          <w:outline w:val="0"/>
          <w:color w:val="000000"/>
          <w:sz w:val="22"/>
          <w:szCs w:val="22"/>
          <w:u w:color="000000"/>
          <w:rtl w:val="0"/>
          <w:lang w:val="en-US"/>
          <w14:textFill>
            <w14:solidFill>
              <w14:srgbClr w14:val="000000"/>
            </w14:solidFill>
          </w14:textFill>
        </w:rPr>
        <w:t xml:space="preserve">= 0.00000024 (Giza), </w:t>
      </w:r>
      <w:r>
        <w:rPr>
          <w:outline w:val="0"/>
          <w:color w:val="000000"/>
          <w:sz w:val="22"/>
          <w:szCs w:val="22"/>
          <w:u w:color="000000"/>
          <w:rtl w:val="0"/>
          <w14:textFill>
            <w14:solidFill>
              <w14:srgbClr w14:val="000000"/>
            </w14:solidFill>
          </w14:textFill>
        </w:rPr>
        <w:t xml:space="preserve">α </w:t>
      </w:r>
      <w:r>
        <w:rPr>
          <w:outline w:val="0"/>
          <w:color w:val="000000"/>
          <w:sz w:val="22"/>
          <w:szCs w:val="22"/>
          <w:u w:color="000000"/>
          <w:rtl w:val="0"/>
          <w:lang w:val="it-IT"/>
          <w14:textFill>
            <w14:solidFill>
              <w14:srgbClr w14:val="000000"/>
            </w14:solidFill>
          </w14:textFill>
        </w:rPr>
        <w:t xml:space="preserve">= 0.00000028 (Colosseum), </w:t>
      </w:r>
      <w:r>
        <w:rPr>
          <w:outline w:val="0"/>
          <w:color w:val="000000"/>
          <w:sz w:val="22"/>
          <w:szCs w:val="22"/>
          <w:u w:color="000000"/>
          <w:rtl w:val="0"/>
          <w14:textFill>
            <w14:solidFill>
              <w14:srgbClr w14:val="000000"/>
            </w14:solidFill>
          </w14:textFill>
        </w:rPr>
        <w:t xml:space="preserve">α </w:t>
      </w:r>
      <w:r>
        <w:rPr>
          <w:outline w:val="0"/>
          <w:color w:val="000000"/>
          <w:sz w:val="22"/>
          <w:szCs w:val="22"/>
          <w:u w:color="000000"/>
          <w:rtl w:val="0"/>
          <w:lang w:val="en-US"/>
          <w14:textFill>
            <w14:solidFill>
              <w14:srgbClr w14:val="000000"/>
            </w14:solidFill>
          </w14:textFill>
        </w:rPr>
        <w:t xml:space="preserve">= 0.00000021 (Eiffel), and </w:t>
      </w:r>
      <w:r>
        <w:rPr>
          <w:outline w:val="0"/>
          <w:color w:val="000000"/>
          <w:sz w:val="22"/>
          <w:szCs w:val="22"/>
          <w:u w:color="000000"/>
          <w:rtl w:val="0"/>
          <w14:textFill>
            <w14:solidFill>
              <w14:srgbClr w14:val="000000"/>
            </w14:solidFill>
          </w14:textFill>
        </w:rPr>
        <w:t xml:space="preserve">α </w:t>
      </w:r>
      <w:r>
        <w:rPr>
          <w:outline w:val="0"/>
          <w:color w:val="000000"/>
          <w:sz w:val="22"/>
          <w:szCs w:val="22"/>
          <w:u w:color="000000"/>
          <w:rtl w:val="0"/>
          <w:lang w:val="en-US"/>
          <w14:textFill>
            <w14:solidFill>
              <w14:srgbClr w14:val="000000"/>
            </w14:solidFill>
          </w14:textFill>
        </w:rPr>
        <w:t>= 0.00000109 (Chartres). No individual match in any dataset approaches these thresholds.</w:t>
      </w:r>
    </w:p>
    <w:p>
      <w:pPr>
        <w:pStyle w:val="Heading 2"/>
        <w:spacing w:before="240" w:after="120"/>
      </w:pPr>
      <w:r>
        <w:rPr>
          <w:outline w:val="0"/>
          <w:color w:val="000000"/>
          <w:u w:color="000000"/>
          <w:rtl w:val="0"/>
          <w:lang w:val="en-US"/>
          <w14:textFill>
            <w14:solidFill>
              <w14:srgbClr w14:val="000000"/>
            </w14:solidFill>
          </w14:textFill>
        </w:rPr>
        <w:t>5.4 Sensitivity Analysis</w:t>
      </w:r>
    </w:p>
    <w:p>
      <w:pPr>
        <w:pStyle w:val="Heading 2"/>
        <w:spacing w:before="240" w:after="120"/>
      </w:pPr>
      <w:r>
        <w:rPr>
          <w:outline w:val="0"/>
          <w:color w:val="000000"/>
          <w:sz w:val="22"/>
          <w:szCs w:val="22"/>
          <w:u w:color="000000"/>
          <w:rtl w:val="0"/>
          <w:lang w:val="en-US"/>
          <w14:textFill>
            <w14:solidFill>
              <w14:srgbClr w14:val="000000"/>
            </w14:solidFill>
          </w14:textFill>
        </w:rPr>
        <w:t>Hit counts scale predictably and remain comparable across structures across the full tested tolerance range:</w:t>
      </w:r>
    </w:p>
    <w:tbl>
      <w:tblPr>
        <w:tblW w:w="7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0"/>
        <w:gridCol w:w="1500"/>
        <w:gridCol w:w="1500"/>
        <w:gridCol w:w="1500"/>
        <w:gridCol w:w="1500"/>
      </w:tblGrid>
      <w:tr>
        <w:tblPrEx>
          <w:shd w:val="clear" w:color="auto" w:fill="ced7e7"/>
        </w:tblPrEx>
        <w:trPr>
          <w:trHeight w:val="250" w:hRule="atLeast"/>
        </w:trPr>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b w:val="1"/>
                <w:bCs w:val="1"/>
                <w:sz w:val="20"/>
                <w:szCs w:val="20"/>
                <w:u w:color="000000"/>
                <w:shd w:val="nil" w:color="auto" w:fill="auto"/>
                <w:rtl w:val="0"/>
                <w:lang w:val="fr-FR"/>
              </w:rPr>
              <w:t>Tolerance</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b w:val="1"/>
                <w:bCs w:val="1"/>
                <w:sz w:val="20"/>
                <w:szCs w:val="20"/>
                <w:u w:color="000000"/>
                <w:shd w:val="nil" w:color="auto" w:fill="auto"/>
                <w:rtl w:val="0"/>
                <w:lang w:val="en-US"/>
              </w:rPr>
              <w:t>Giza</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b w:val="1"/>
                <w:bCs w:val="1"/>
                <w:sz w:val="20"/>
                <w:szCs w:val="20"/>
                <w:u w:color="000000"/>
                <w:shd w:val="nil" w:color="auto" w:fill="auto"/>
                <w:rtl w:val="0"/>
                <w:lang w:val="it-IT"/>
              </w:rPr>
              <w:t>Colosseum</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b w:val="1"/>
                <w:bCs w:val="1"/>
                <w:sz w:val="20"/>
                <w:szCs w:val="20"/>
                <w:u w:color="000000"/>
                <w:shd w:val="nil" w:color="auto" w:fill="auto"/>
                <w:rtl w:val="0"/>
                <w:lang w:val="de-DE"/>
              </w:rPr>
              <w:t>Eiffel</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b w:val="1"/>
                <w:bCs w:val="1"/>
                <w:sz w:val="20"/>
                <w:szCs w:val="20"/>
                <w:u w:color="000000"/>
                <w:shd w:val="nil" w:color="auto" w:fill="auto"/>
                <w:rtl w:val="0"/>
                <w:lang w:val="nl-NL"/>
              </w:rPr>
              <w:t>Chartres</w:t>
            </w:r>
          </w:p>
        </w:tc>
      </w:tr>
      <w:tr>
        <w:tblPrEx>
          <w:shd w:val="clear" w:color="auto" w:fill="ced7e7"/>
        </w:tblPrEx>
        <w:trPr>
          <w:trHeight w:val="250" w:hRule="atLeast"/>
        </w:trPr>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0.5%</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93</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84</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109</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18</w:t>
            </w:r>
          </w:p>
        </w:tc>
      </w:tr>
      <w:tr>
        <w:tblPrEx>
          <w:shd w:val="clear" w:color="auto" w:fill="ced7e7"/>
        </w:tblPrEx>
        <w:trPr>
          <w:trHeight w:val="250" w:hRule="atLeast"/>
        </w:trPr>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1.0%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188</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137</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171</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39</w:t>
            </w:r>
          </w:p>
        </w:tc>
      </w:tr>
      <w:tr>
        <w:tblPrEx>
          <w:shd w:val="clear" w:color="auto" w:fill="ced7e7"/>
        </w:tblPrEx>
        <w:trPr>
          <w:trHeight w:val="250" w:hRule="atLeast"/>
        </w:trPr>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2.0%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lang w:val="ru-RU"/>
              </w:rPr>
              <w:t>374</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325</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412</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81</w:t>
            </w:r>
          </w:p>
        </w:tc>
      </w:tr>
      <w:tr>
        <w:tblPrEx>
          <w:shd w:val="clear" w:color="auto" w:fill="ced7e7"/>
        </w:tblPrEx>
        <w:trPr>
          <w:trHeight w:val="250" w:hRule="atLeast"/>
        </w:trPr>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3.0%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lang w:val="ru-RU"/>
              </w:rPr>
              <w:t>584</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441</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612</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132</w:t>
            </w:r>
          </w:p>
        </w:tc>
      </w:tr>
      <w:tr>
        <w:tblPrEx>
          <w:shd w:val="clear" w:color="auto" w:fill="ced7e7"/>
        </w:tblPrEx>
        <w:trPr>
          <w:trHeight w:val="250" w:hRule="atLeast"/>
        </w:trPr>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5.0%</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1,016</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686</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1,084</w:t>
            </w:r>
          </w:p>
        </w:tc>
        <w:tc>
          <w:tcPr>
            <w:tcW w:type="dxa" w:w="1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left"/>
              <w:rPr>
                <w:rtl w:val="0"/>
              </w:rPr>
            </w:pPr>
            <w:r>
              <w:rPr>
                <w:rFonts w:ascii="Verdana" w:hAnsi="Verdana"/>
                <w:sz w:val="20"/>
                <w:szCs w:val="20"/>
                <w:u w:color="000000"/>
                <w:shd w:val="nil" w:color="auto" w:fill="auto"/>
                <w:rtl w:val="0"/>
              </w:rPr>
              <w:t>224</w:t>
            </w:r>
          </w:p>
        </w:tc>
      </w:tr>
    </w:tbl>
    <w:p>
      <w:pPr>
        <w:pStyle w:val="Heading 2"/>
        <w:widowControl w:val="0"/>
        <w:spacing w:before="240" w:after="120"/>
      </w:pPr>
    </w:p>
    <w:p>
      <w:pPr>
        <w:pStyle w:val="Heading 2"/>
        <w:widowControl w:val="0"/>
        <w:spacing w:before="240" w:after="120"/>
      </w:pPr>
      <w:r>
        <w:rPr>
          <w:i w:val="1"/>
          <w:iCs w:val="1"/>
          <w:outline w:val="0"/>
          <w:color w:val="595959"/>
          <w:sz w:val="18"/>
          <w:szCs w:val="18"/>
          <w:u w:color="595959"/>
          <w:rtl w:val="0"/>
          <w:lang w:val="en-US"/>
          <w14:textFill>
            <w14:solidFill>
              <w14:srgbClr w14:val="595959"/>
            </w14:solidFill>
          </w14:textFill>
        </w:rPr>
        <w:t>Table 3. Hit counts across tolerance thresholds, independent-measurement datasets.</w:t>
      </w:r>
    </w:p>
    <w:p>
      <w:pPr>
        <w:pStyle w:val="Heading 2"/>
        <w:spacing w:before="240" w:after="120"/>
      </w:pPr>
      <w:r>
        <w:rPr>
          <w:outline w:val="0"/>
          <w:color w:val="000000"/>
          <w:u w:color="000000"/>
          <w:rtl w:val="0"/>
          <w:lang w:val="en-US"/>
          <w14:textFill>
            <w14:solidFill>
              <w14:srgbClr w14:val="000000"/>
            </w14:solidFill>
          </w14:textFill>
        </w:rPr>
        <w:t>5.5 Tier 2 Sensitivity Check (Full Dataset, Including Derived and Estimated Values)</w:t>
      </w:r>
    </w:p>
    <w:p>
      <w:pPr>
        <w:pStyle w:val="Heading 2"/>
        <w:spacing w:before="240" w:after="120"/>
      </w:pPr>
      <w:r>
        <w:rPr>
          <w:outline w:val="0"/>
          <w:color w:val="000000"/>
          <w:sz w:val="22"/>
          <w:szCs w:val="22"/>
          <w:u w:color="000000"/>
          <w:rtl w:val="0"/>
          <w:lang w:val="en-US"/>
          <w14:textFill>
            <w14:solidFill>
              <w14:srgbClr w14:val="000000"/>
            </w14:solidFill>
          </w14:textFill>
        </w:rPr>
        <w:t xml:space="preserve">Re-running the search with derived quantities and rough archaeological estimates added back in (Giza N=37, Colosseum N=31, Eiffel N=33) produces hit rates of 0.162% (Giza), 0.171% (Colosseum), and 0.178% (Eiffel)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consistent with, and not meaningfully different from, the independent-measurement-only results. This confirms the core finding is not an artifact of the independence restriction: whether or not derived and estimated values are included, real monuments produce hit rates indistinguishable from chance.</w:t>
      </w:r>
    </w:p>
    <w:p>
      <w:pPr>
        <w:pStyle w:val="Heading"/>
        <w:spacing w:before="320" w:after="160"/>
      </w:pPr>
    </w:p>
    <w:p>
      <w:pPr>
        <w:pStyle w:val="Heading"/>
        <w:spacing w:before="320" w:after="160"/>
      </w:pPr>
      <w:r>
        <w:rPr>
          <w:outline w:val="0"/>
          <w:color w:val="000000"/>
          <w:u w:color="000000"/>
          <w:rtl w:val="0"/>
          <w:lang w:val="en-US"/>
          <w14:textFill>
            <w14:solidFill>
              <w14:srgbClr w14:val="000000"/>
            </w14:solidFill>
          </w14:textFill>
        </w:rPr>
        <w:t>6. Discussion</w:t>
      </w:r>
    </w:p>
    <w:p>
      <w:pPr>
        <w:pStyle w:val="Heading 2"/>
        <w:spacing w:before="240" w:after="120"/>
      </w:pPr>
      <w:r>
        <w:rPr>
          <w:outline w:val="0"/>
          <w:color w:val="000000"/>
          <w:u w:color="000000"/>
          <w:rtl w:val="0"/>
          <w:lang w:val="en-US"/>
          <w14:textFill>
            <w14:solidFill>
              <w14:srgbClr w14:val="000000"/>
            </w14:solidFill>
          </w14:textFill>
        </w:rPr>
        <w:t>6.1 The One Genuine Relationship</w:t>
      </w:r>
    </w:p>
    <w:p>
      <w:pPr>
        <w:pStyle w:val="Heading 2"/>
        <w:spacing w:before="240" w:after="120"/>
      </w:pPr>
      <w:r>
        <w:rPr>
          <w:outline w:val="0"/>
          <w:color w:val="000000"/>
          <w:sz w:val="22"/>
          <w:szCs w:val="22"/>
          <w:u w:color="000000"/>
          <w:rtl w:val="0"/>
          <w:lang w:val="en-US"/>
          <w14:textFill>
            <w14:solidFill>
              <w14:srgbClr w14:val="000000"/>
            </w14:solidFill>
          </w14:textFill>
        </w:rPr>
        <w:t xml:space="preserve">This analysis deliberately isolates one exception, which should not be conflated with the noise documented above: using only the independently surveyed base sides and height, the ratio of Giza's slant height to its half-base is 1.6186, within 0.033% of </w:t>
      </w:r>
      <w:r>
        <w:rPr>
          <w:outline w:val="0"/>
          <w:color w:val="000000"/>
          <w:sz w:val="22"/>
          <w:szCs w:val="22"/>
          <w:u w:color="000000"/>
          <w:rtl w:val="0"/>
          <w14:textFill>
            <w14:solidFill>
              <w14:srgbClr w14:val="000000"/>
            </w14:solidFill>
          </w14:textFill>
        </w:rPr>
        <w:t xml:space="preserve">φ </w:t>
      </w:r>
      <w:r>
        <w:rPr>
          <w:outline w:val="0"/>
          <w:color w:val="000000"/>
          <w:sz w:val="22"/>
          <w:szCs w:val="22"/>
          <w:u w:color="000000"/>
          <w:rtl w:val="0"/>
          <w14:textFill>
            <w14:solidFill>
              <w14:srgbClr w14:val="000000"/>
            </w14:solidFill>
          </w14:textFill>
        </w:rPr>
        <w:t xml:space="preserve">(1.61803)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reproducing without any search process, scaling manipulation, or selection from among hundreds of candidate ratios, and confirmed here to hold even after removing every derived and estimated quantity from the dataset. This relationship follows directly and necessarily from the pyramid's independently surveyed slope angle, reported as 51</w:t>
      </w:r>
      <w:r>
        <w:rPr>
          <w:outline w:val="0"/>
          <w:color w:val="000000"/>
          <w:sz w:val="22"/>
          <w:szCs w:val="22"/>
          <w:u w:color="000000"/>
          <w:rtl w:val="0"/>
          <w:lang w:val="it-IT"/>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50'40" by Lehner (1997) drawing on Petrie's (1883) casing-stone survey; Cole's independent 1925 triangulation survey and Dorner's (1981) theodolite survey report closely comparable but not identical values (variation at the arc-minute level, consistent with ordinary inter-survey measurement variance rather than any ambiguity about the pyramid's actual slope). Unlike the 374 combinatorial hits catalogued in Section 5, this single relationship requires no search: it is a direct trigonometric identity of one measured, load-bearing design parameter. Whether the pyramid's builders selected this particular slope angle because of an awareness of the resulting </w:t>
      </w:r>
      <w:r>
        <w:rPr>
          <w:outline w:val="0"/>
          <w:color w:val="000000"/>
          <w:sz w:val="22"/>
          <w:szCs w:val="22"/>
          <w:u w:color="000000"/>
          <w:rtl w:val="0"/>
          <w14:textFill>
            <w14:solidFill>
              <w14:srgbClr w14:val="000000"/>
            </w14:solidFill>
          </w14:textFill>
        </w:rPr>
        <w:t>φ</w:t>
      </w:r>
      <w:r>
        <w:rPr>
          <w:outline w:val="0"/>
          <w:color w:val="000000"/>
          <w:sz w:val="22"/>
          <w:szCs w:val="22"/>
          <w:u w:color="000000"/>
          <w:rtl w:val="0"/>
          <w:lang w:val="en-US"/>
          <w14:textFill>
            <w14:solidFill>
              <w14:srgbClr w14:val="000000"/>
            </w14:solidFill>
          </w14:textFill>
        </w:rPr>
        <w:t xml:space="preserve">-proximity, because of independently attested seked-based slope construction methods (Rhind Mathematical Papyrus), or because of structural or aesthetic preference remains genuinely open and cannot be resolved by geometry alone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but it is categorically distinct from, and should not be cited alongside, claims about encoded light-speed or Earth-radius values, which this analysis shows to be statistically indistinguishable from noise.</w:t>
      </w:r>
    </w:p>
    <w:p>
      <w:pPr>
        <w:pStyle w:val="Heading 2"/>
        <w:spacing w:before="240" w:after="120"/>
      </w:pPr>
      <w:r>
        <w:rPr>
          <w:outline w:val="0"/>
          <w:color w:val="000000"/>
          <w:u w:color="000000"/>
          <w:rtl w:val="0"/>
          <w:lang w:val="en-US"/>
          <w14:textFill>
            <w14:solidFill>
              <w14:srgbClr w14:val="000000"/>
            </w14:solidFill>
          </w14:textFill>
        </w:rPr>
        <w:t>6.2 What Would Constitute Real Evidence of Intentional Encoding</w:t>
      </w:r>
    </w:p>
    <w:p>
      <w:pPr>
        <w:pStyle w:val="Heading 2"/>
        <w:spacing w:before="240" w:after="120"/>
      </w:pPr>
      <w:r>
        <w:rPr>
          <w:outline w:val="0"/>
          <w:color w:val="000000"/>
          <w:sz w:val="22"/>
          <w:szCs w:val="22"/>
          <w:u w:color="000000"/>
          <w:rtl w:val="0"/>
          <w:lang w:val="en-US"/>
          <w14:textFill>
            <w14:solidFill>
              <w14:srgbClr w14:val="000000"/>
            </w14:solidFill>
          </w14:textFill>
        </w:rPr>
        <w:t xml:space="preserve">The results above motivate a clear evidentiary standard for distinguishing genuine transmitted or intentional mathematical knowledge from combinatorial coincidence. A single ratio appearing once, within one structure, selected after the fact from among many candidate combinations, does not meet this standard regardless of how closely it matches a named constant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 xml:space="preserve">this is precisely the failure mode demonstrated empirically in Section 5. A stronger claim would require the same specific ratio recurring consistently across multiple, independently constructed structures, ideally corroborated by a surviving design text (as exists for Roman architecture in Vitruvius's De Architectura, though no equivalent design manual survives for the Fourth Dynasty). Cardinal orientation is a partial exception to this standard: because Giza's near-perfect alignment to true north is a single, well-defined, independently corroborated achievement (rather than one hit selected from hundreds of candidate ratios), and because it is directly consistent with the observational astronomy tradition attested at Nabta Playa millennia earlier, it constitutes real evidence of deliberate, transmitted astronomical competence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categorically different from the combinatorial matches to unrelated constants tested in this paper.</w:t>
      </w:r>
    </w:p>
    <w:p>
      <w:pPr>
        <w:pStyle w:val="Heading 2"/>
        <w:spacing w:before="240" w:after="120"/>
      </w:pPr>
    </w:p>
    <w:p>
      <w:pPr>
        <w:pStyle w:val="Heading 2"/>
        <w:spacing w:before="240" w:after="120"/>
      </w:pPr>
      <w:r>
        <w:rPr>
          <w:outline w:val="0"/>
          <w:color w:val="000000"/>
          <w:u w:color="000000"/>
          <w:rtl w:val="0"/>
          <w:lang w:val="en-US"/>
          <w14:textFill>
            <w14:solidFill>
              <w14:srgbClr w14:val="000000"/>
            </w14:solidFill>
          </w14:textFill>
        </w:rPr>
        <w:t>6.3 Structural Function versus Specific Ratio</w:t>
      </w:r>
    </w:p>
    <w:p>
      <w:pPr>
        <w:pStyle w:val="Heading 2"/>
        <w:spacing w:before="240" w:after="120"/>
      </w:pPr>
      <w:r>
        <w:rPr>
          <w:outline w:val="0"/>
          <w:color w:val="000000"/>
          <w:sz w:val="22"/>
          <w:szCs w:val="22"/>
          <w:u w:color="000000"/>
          <w:rtl w:val="0"/>
          <w:lang w:val="en-US"/>
          <w14:textFill>
            <w14:solidFill>
              <w14:srgbClr w14:val="000000"/>
            </w14:solidFill>
          </w14:textFill>
        </w:rPr>
        <w:t xml:space="preserve">A related but separate question, addressed briefly here, is whether specific proportions were functionally necessary rather than merely decorative or coincidental. For the Colosseum, the elliptical footprint plausibly served genuine structural and sightline functions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 xml:space="preserve">but this logic applies to the ellipse shape broadly, not to its specific 1.21 major-to-minor axis ratio; comparable structural and viewing performance could be achieved across a range of aspect ratios. The same reasoning applies to Giza's slope: a stable, precisely oriented pyramid could have been built at a range of slope angles using the same seked-based construction method, with the specific angle chosen plausibly constrained by material properties, structural stability limits, and available construction technique rather than by a requirement to hit any specific ratio. This distinguishes constraint-driven convergence (a shape or angle chosen within a workable range, which incidentally produces a near-constant ratio) from constant-chasing (a ratio deliberately targeted as an end in itself)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only the former is well supported by the evidence assembled here.</w:t>
      </w:r>
    </w:p>
    <w:p>
      <w:pPr>
        <w:pStyle w:val="Heading 2"/>
        <w:spacing w:before="240" w:after="120"/>
      </w:pPr>
      <w:r>
        <w:rPr>
          <w:outline w:val="0"/>
          <w:color w:val="000000"/>
          <w:u w:color="000000"/>
          <w:rtl w:val="0"/>
          <w:lang w:val="fr-FR"/>
          <w14:textFill>
            <w14:solidFill>
              <w14:srgbClr w14:val="000000"/>
            </w14:solidFill>
          </w14:textFill>
        </w:rPr>
        <w:t>6.4 Limitations</w:t>
      </w:r>
    </w:p>
    <w:p>
      <w:pPr>
        <w:pStyle w:val="Heading 2"/>
        <w:spacing w:before="240" w:after="120"/>
      </w:pPr>
      <w:r>
        <w:rPr>
          <w:outline w:val="0"/>
          <w:color w:val="000000"/>
          <w:sz w:val="22"/>
          <w:szCs w:val="22"/>
          <w:u w:color="000000"/>
          <w:rtl w:val="0"/>
          <w:lang w:val="en-US"/>
          <w14:textFill>
            <w14:solidFill>
              <w14:srgbClr w14:val="000000"/>
            </w14:solidFill>
          </w14:textFill>
        </w:rPr>
        <w:t xml:space="preserve">Three limitations remain. First, independent sample sizes differ substantially across structures (29, 27, 31, and 14), reflecting genuine differences in how much independently documented physical detail survives in the published record for each monument </w:t>
      </w:r>
      <w:r>
        <w:rPr>
          <w:outline w:val="0"/>
          <w:color w:val="000000"/>
          <w:sz w:val="22"/>
          <w:szCs w:val="22"/>
          <w:u w:color="000000"/>
          <w:rtl w:val="0"/>
          <w:lang w:val="en-US"/>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most acutely for Chartres Cathedral, where published measurement compilations are comparatively sparse relative to the extensive modern engineering surveys available for the Eiffel Tower or the century of dedicated archaeological surveying at Giza. This is preferable to forcing an artificial uniform count across structures with genuinely different documentation depth, but it does mean Table 1's hit rates are not compared across identical search-space sizes, only against each structure's own matched null models. Second, the nine scaling factors applied (</w:t>
      </w:r>
      <w:r>
        <w:rPr>
          <w:outline w:val="0"/>
          <w:color w:val="000000"/>
          <w:sz w:val="22"/>
          <w:szCs w:val="22"/>
          <w:u w:color="000000"/>
          <w:rtl w:val="0"/>
          <w14:textFill>
            <w14:solidFill>
              <w14:srgbClr w14:val="000000"/>
            </w14:solidFill>
          </w14:textFill>
        </w:rPr>
        <w:t>×</w:t>
      </w:r>
      <w:r>
        <w:rPr>
          <w:outline w:val="0"/>
          <w:color w:val="000000"/>
          <w:sz w:val="22"/>
          <w:szCs w:val="22"/>
          <w:u w:color="000000"/>
          <w:rtl w:val="0"/>
          <w14:textFill>
            <w14:solidFill>
              <w14:srgbClr w14:val="000000"/>
            </w14:solidFill>
          </w14:textFill>
        </w:rPr>
        <w:t xml:space="preserve">0.0001 to </w:t>
      </w:r>
      <w:r>
        <w:rPr>
          <w:outline w:val="0"/>
          <w:color w:val="000000"/>
          <w:sz w:val="22"/>
          <w:szCs w:val="22"/>
          <w:u w:color="000000"/>
          <w:rtl w:val="0"/>
          <w14:textFill>
            <w14:solidFill>
              <w14:srgbClr w14:val="000000"/>
            </w14:solidFill>
          </w14:textFill>
        </w:rPr>
        <w:t>×</w:t>
      </w:r>
      <w:r>
        <w:rPr>
          <w:outline w:val="0"/>
          <w:color w:val="000000"/>
          <w:sz w:val="22"/>
          <w:szCs w:val="22"/>
          <w:u w:color="000000"/>
          <w:rtl w:val="0"/>
          <w:lang w:val="en-US"/>
          <w14:textFill>
            <w14:solidFill>
              <w14:srgbClr w14:val="000000"/>
            </w14:solidFill>
          </w14:textFill>
        </w:rPr>
        <w:t>10,000) were chosen to approximate the order-of-magnitude latitude implicitly used in the popular claims literature, but this has not been independently validated against a systematic survey of that literature; the sensitivity analysis in Section 5.4 shows the qualitative conclusion is stable across match-tolerance thresholds, but stability across the choice of scaling factors themselves has not been separately tested. Third, several measurements within each structure share underlying construction or survey batches (e.g., the Colosseum's ground-floor arch dimensions, or Chartres's crossing-pier rectangle sides) in ways not fully captured by excluding only exact deterministic relationships; this is the most likely explanation for the small, consistent positive offset noted in Section 5.2, and future work could assess it directly via a within-structure correlation analysis rather than treating all included measurements as fully independent by assumption.</w:t>
      </w:r>
    </w:p>
    <w:p>
      <w:pPr>
        <w:pStyle w:val="Heading 2"/>
        <w:spacing w:before="240" w:after="120"/>
      </w:pPr>
      <w:r>
        <w:rPr>
          <w:outline w:val="0"/>
          <w:color w:val="000000"/>
          <w:sz w:val="22"/>
          <w:szCs w:val="22"/>
          <w:u w:color="000000"/>
          <w:rtl w:val="0"/>
          <w:lang w:val="en-US"/>
          <w14:textFill>
            <w14:solidFill>
              <w14:srgbClr w14:val="000000"/>
            </w14:solidFill>
          </w14:textFill>
        </w:rPr>
        <w:t>Four structures, while a substantial improvement on a single case study, remain a modest sample for claims about the generality of the noise mechanism across cultures and eras; the consistency observed here across a Bronze Age funerary monument, a Roman amphitheater, an 1889 industrial tower, and a medieval cathedral is suggestive rather than exhaustive, and extending this methodology to additional independently surveyed monuments (a Mesoamerican pyramid, a Chinese pagoda, or comparable structures with well-documented independent measurement records) would further strengthen the generality claim made in Section 7.</w:t>
      </w:r>
    </w:p>
    <w:p>
      <w:pPr>
        <w:pStyle w:val="Heading"/>
        <w:spacing w:before="320" w:after="160"/>
      </w:pPr>
      <w:r>
        <w:rPr>
          <w:outline w:val="0"/>
          <w:color w:val="000000"/>
          <w:u w:color="000000"/>
          <w:rtl w:val="0"/>
          <w:lang w:val="en-US"/>
          <w14:textFill>
            <w14:solidFill>
              <w14:srgbClr w14:val="000000"/>
            </w14:solidFill>
          </w14:textFill>
        </w:rPr>
        <w:t>7. Implications for the Deep Symbolic Systems Model</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 xml:space="preserve">These findings are consistent with, and reinforce, the DSSM account of Egypt's Axial-River/Stone-Anchor stabilization pathway. Under this model, Giza's precision reflects Stage 3 (Material Amplification and Externalization) of a long, independently attested developmental sequence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cardinal orientation and systematic observation stabilized as ritualized practice at sites such as Nabta Playa across the sixth and fifth millennia BCE (Stage 2), later externalized into permanent monumental form at Giza. This account requires no discontinuity, no external transmission, and no deliberate encoding of unrelated cosmic constants: the pyramid's genuine precision is explained by cumulative, intergenerational technical practice, while its apparent "cosmic encodings" are explained by the combinatorial search artifact demonstrated quantitatively in Sections 5 and 6. This is also directly consistent with this model's broader argument against diffusionist or single-origin explanations for architectural sophistication (see Section 6.3): independent civilizations converge on similar geometric solutions because they face similar structural and observational constraints, not because of a shared secret transmission of cosmic mathematics.</w:t>
      </w:r>
    </w:p>
    <w:p>
      <w:pPr>
        <w:pStyle w:val="Heading"/>
        <w:spacing w:before="320" w:after="160"/>
      </w:pPr>
      <w:r>
        <w:rPr>
          <w:outline w:val="0"/>
          <w:color w:val="000000"/>
          <w:u w:color="000000"/>
          <w:rtl w:val="0"/>
          <w:lang w:val="en-US"/>
          <w14:textFill>
            <w14:solidFill>
              <w14:srgbClr w14:val="000000"/>
            </w14:solidFill>
          </w14:textFill>
        </w:rPr>
        <w:t>8. Relevance to UN Sustainable Development Goals</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This research contributes to the following UN Sustainable Development Goals:</w:t>
      </w:r>
    </w:p>
    <w:p>
      <w:pPr>
        <w:pStyle w:val="List Paragraph"/>
        <w:numPr>
          <w:ilvl w:val="0"/>
          <w:numId w:val="2"/>
        </w:numPr>
        <w:spacing w:after="100"/>
        <w:rPr>
          <w:sz w:val="22"/>
          <w:szCs w:val="22"/>
          <w:lang w:val="en-US"/>
        </w:rPr>
      </w:pPr>
      <w:r>
        <w:rPr>
          <w:rFonts w:ascii="Verdana" w:hAnsi="Verdana"/>
          <w:outline w:val="0"/>
          <w:color w:val="000000"/>
          <w:sz w:val="22"/>
          <w:szCs w:val="22"/>
          <w:u w:color="000000"/>
          <w:rtl w:val="0"/>
          <w:lang w:val="en-US"/>
          <w14:textFill>
            <w14:solidFill>
              <w14:srgbClr w14:val="000000"/>
            </w14:solidFill>
          </w14:textFill>
        </w:rPr>
        <w:t>SDG 4 (Quality Education): Provides a reproducible, quantitative methodology for teaching statistical reasoning, the multiple-comparisons problem, and critical evaluation of pseudo-archaeological claims, applicable in both archaeology and general statistics/data-literacy curricula.</w:t>
      </w:r>
    </w:p>
    <w:p>
      <w:pPr>
        <w:pStyle w:val="List Paragraph"/>
        <w:numPr>
          <w:ilvl w:val="0"/>
          <w:numId w:val="2"/>
        </w:numPr>
        <w:spacing w:after="100"/>
        <w:rPr>
          <w:sz w:val="22"/>
          <w:szCs w:val="22"/>
          <w:lang w:val="en-US"/>
        </w:rPr>
      </w:pPr>
      <w:r>
        <w:rPr>
          <w:rFonts w:ascii="Verdana" w:hAnsi="Verdana"/>
          <w:outline w:val="0"/>
          <w:color w:val="000000"/>
          <w:sz w:val="22"/>
          <w:szCs w:val="22"/>
          <w:u w:color="000000"/>
          <w:rtl w:val="0"/>
          <w:lang w:val="en-US"/>
          <w14:textFill>
            <w14:solidFill>
              <w14:srgbClr w14:val="000000"/>
            </w14:solidFill>
          </w14:textFill>
        </w:rPr>
        <w:t>SDG 9 (Industry, Innovation and Infrastructure): Provides an openly documented, code-based combinatorial and statistical methodology (Section 4; Data Availability statement) that heritage engineering and structural-survey practitioners can reuse directly to test proportion-based design claims against other monuments.</w:t>
      </w:r>
    </w:p>
    <w:p>
      <w:pPr>
        <w:pStyle w:val="List Paragraph"/>
        <w:numPr>
          <w:ilvl w:val="0"/>
          <w:numId w:val="2"/>
        </w:numPr>
        <w:spacing w:after="100"/>
        <w:rPr>
          <w:sz w:val="22"/>
          <w:szCs w:val="22"/>
          <w:lang w:val="en-US"/>
        </w:rPr>
      </w:pPr>
      <w:r>
        <w:rPr>
          <w:rFonts w:ascii="Verdana" w:hAnsi="Verdana"/>
          <w:outline w:val="0"/>
          <w:color w:val="000000"/>
          <w:sz w:val="22"/>
          <w:szCs w:val="22"/>
          <w:u w:color="000000"/>
          <w:rtl w:val="0"/>
          <w:lang w:val="en-US"/>
          <w14:textFill>
            <w14:solidFill>
              <w14:srgbClr w14:val="000000"/>
            </w14:solidFill>
          </w14:textFill>
        </w:rPr>
        <w:t>SDG 11 (Sustainable Cities and Communities): Supports accurate public understanding of heritage sites (Giza, the Colosseum) central to sustainable cultural tourism and heritage preservation, reducing the spread of misinformation that can distort public and institutional priorities around these sites.</w:t>
      </w:r>
    </w:p>
    <w:p>
      <w:pPr>
        <w:pStyle w:val="List Paragraph"/>
        <w:numPr>
          <w:ilvl w:val="0"/>
          <w:numId w:val="2"/>
        </w:numPr>
        <w:spacing w:after="100"/>
        <w:rPr>
          <w:sz w:val="22"/>
          <w:szCs w:val="22"/>
          <w:lang w:val="en-US"/>
        </w:rPr>
      </w:pPr>
      <w:r>
        <w:rPr>
          <w:rFonts w:ascii="Verdana" w:hAnsi="Verdana"/>
          <w:outline w:val="0"/>
          <w:color w:val="000000"/>
          <w:sz w:val="22"/>
          <w:szCs w:val="22"/>
          <w:u w:color="000000"/>
          <w:rtl w:val="0"/>
          <w:lang w:val="en-US"/>
          <w14:textFill>
            <w14:solidFill>
              <w14:srgbClr w14:val="000000"/>
            </w14:solidFill>
          </w14:textFill>
        </w:rPr>
        <w:t>SDG 16 (Peace, Justice and Strong Institutions): Addresses the broader problem of AI-generated and social-media-amplified misinformation by providing a transparent, falsifiable counter-methodology, supporting institutional and public information integrity.</w:t>
      </w:r>
    </w:p>
    <w:p>
      <w:pPr>
        <w:pStyle w:val="Heading"/>
        <w:spacing w:before="320" w:after="160"/>
      </w:pPr>
    </w:p>
    <w:p>
      <w:pPr>
        <w:pStyle w:val="Heading"/>
        <w:spacing w:before="320" w:after="160"/>
      </w:pPr>
      <w:r>
        <w:rPr>
          <w:outline w:val="0"/>
          <w:color w:val="000000"/>
          <w:u w:color="000000"/>
          <w:rtl w:val="0"/>
          <w:lang w:val="it-IT"/>
          <w14:textFill>
            <w14:solidFill>
              <w14:srgbClr w14:val="000000"/>
            </w14:solidFill>
          </w14:textFill>
        </w:rPr>
        <w:t>9. Conclusion</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 xml:space="preserve">This paper has shown, using a reproducible combinatorial search across independently surveyed measurements for the Great Pyramid of Giza (N=29), the Colosseum (N=27), the Eiffel Tower (N=31), and Chartres Cathedral (N=14), that apparent "cosmic encoding" matches to constants such as </w:t>
      </w:r>
      <w:r>
        <w:rPr>
          <w:b w:val="0"/>
          <w:bCs w:val="0"/>
          <w:outline w:val="0"/>
          <w:color w:val="000000"/>
          <w:sz w:val="22"/>
          <w:szCs w:val="22"/>
          <w:u w:color="000000"/>
          <w:rtl w:val="0"/>
          <w14:textFill>
            <w14:solidFill>
              <w14:srgbClr w14:val="000000"/>
            </w14:solidFill>
          </w14:textFill>
        </w:rPr>
        <w:t>π</w:t>
      </w:r>
      <w:r>
        <w:rPr>
          <w:b w:val="0"/>
          <w:bCs w:val="0"/>
          <w:outline w:val="0"/>
          <w:color w:val="000000"/>
          <w:sz w:val="22"/>
          <w:szCs w:val="22"/>
          <w:u w:color="000000"/>
          <w:rtl w:val="0"/>
          <w14:textFill>
            <w14:solidFill>
              <w14:srgbClr w14:val="000000"/>
            </w14:solidFill>
          </w14:textFill>
        </w:rPr>
        <w:t xml:space="preserve">, </w:t>
      </w:r>
      <w:r>
        <w:rPr>
          <w:b w:val="0"/>
          <w:bCs w:val="0"/>
          <w:outline w:val="0"/>
          <w:color w:val="000000"/>
          <w:sz w:val="22"/>
          <w:szCs w:val="22"/>
          <w:u w:color="000000"/>
          <w:rtl w:val="0"/>
          <w14:textFill>
            <w14:solidFill>
              <w14:srgbClr w14:val="000000"/>
            </w14:solidFill>
          </w14:textFill>
        </w:rPr>
        <w:t>φ</w:t>
      </w:r>
      <w:r>
        <w:rPr>
          <w:b w:val="0"/>
          <w:bCs w:val="0"/>
          <w:outline w:val="0"/>
          <w:color w:val="000000"/>
          <w:sz w:val="22"/>
          <w:szCs w:val="22"/>
          <w:u w:color="000000"/>
          <w:rtl w:val="0"/>
          <w:lang w:val="en-US"/>
          <w14:textFill>
            <w14:solidFill>
              <w14:srgbClr w14:val="000000"/>
            </w14:solidFill>
          </w14:textFill>
        </w:rPr>
        <w:t xml:space="preserve">, the speed of light, and Earth's dimensions occur at statistically indistinguishable rates in real monuments and in randomly generated comparison data, under two independently constructed null models (parametric log-uniform, z = 0.68-1.19; nonparametric bootstrap from pooled real measurements, z = 0.18-0.55). This finding holds across a five-fold range of match tolerances, survives Bonferroni correction for each structure's own search space, and is confirmed as robust to the inclusion or exclusion of derived and estimated measurements (Section 5.5). The one relationship that survives this scrutiny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Giza's near-</w:t>
      </w:r>
      <w:r>
        <w:rPr>
          <w:b w:val="0"/>
          <w:bCs w:val="0"/>
          <w:outline w:val="0"/>
          <w:color w:val="000000"/>
          <w:sz w:val="22"/>
          <w:szCs w:val="22"/>
          <w:u w:color="000000"/>
          <w:rtl w:val="0"/>
          <w14:textFill>
            <w14:solidFill>
              <w14:srgbClr w14:val="000000"/>
            </w14:solidFill>
          </w14:textFill>
        </w:rPr>
        <w:t xml:space="preserve">φ </w:t>
      </w:r>
      <w:r>
        <w:rPr>
          <w:b w:val="0"/>
          <w:bCs w:val="0"/>
          <w:outline w:val="0"/>
          <w:color w:val="000000"/>
          <w:sz w:val="22"/>
          <w:szCs w:val="22"/>
          <w:u w:color="000000"/>
          <w:rtl w:val="0"/>
          <w:lang w:val="en-US"/>
          <w14:textFill>
            <w14:solidFill>
              <w14:srgbClr w14:val="000000"/>
            </w14:solidFill>
          </w14:textFill>
        </w:rPr>
        <w:t xml:space="preserve">slant-height-to-half-base ratio, 0.033% from </w:t>
      </w:r>
      <w:r>
        <w:rPr>
          <w:b w:val="0"/>
          <w:bCs w:val="0"/>
          <w:outline w:val="0"/>
          <w:color w:val="000000"/>
          <w:sz w:val="22"/>
          <w:szCs w:val="22"/>
          <w:u w:color="000000"/>
          <w:rtl w:val="0"/>
          <w14:textFill>
            <w14:solidFill>
              <w14:srgbClr w14:val="000000"/>
            </w14:solidFill>
          </w14:textFill>
        </w:rPr>
        <w:t xml:space="preserve">φ </w:t>
      </w:r>
      <w:r>
        <w:rPr>
          <w:b w:val="0"/>
          <w:bCs w:val="0"/>
          <w:outline w:val="0"/>
          <w:color w:val="000000"/>
          <w:sz w:val="22"/>
          <w:szCs w:val="22"/>
          <w:u w:color="000000"/>
          <w:rtl w:val="0"/>
          <w:lang w:val="en-US"/>
          <w14:textFill>
            <w14:solidFill>
              <w14:srgbClr w14:val="000000"/>
            </w14:solidFill>
          </w14:textFill>
        </w:rPr>
        <w:t xml:space="preserve">using only independently surveyed values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does so because it is a direct trigonometric consequence of one independently measured design parameter, not a search-derived coincidence, and should be evaluated separately from, and not used to lend credibility to, the broader class of encoding claims this paper shows to be statistical artifacts. Combined with substantial, independently dated evidence of sophisticated observational astronomy in Egypt and the Sahara well before the Fourth Dynasty (Nabta Playa, c. 6100-4800 BCE), and with documented Egyptian slope-construction methods (the seked), the cognitive and technical preconditions for Giza's genuine, attested precision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true-north orientation and dimensional accuracy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are adequately explained without recourse to deliberate cosmic-constant encoding, extraterrestrial contact, or lost advanced civilizations. The same combinatorial search applied without adjustment to any sufficiently measured structure, ancient or modern, will produce comparable apparent "discoveries"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a finding with direct relevance to the current generation of AI-assisted pseudo-archaeological content, whose central methodological error this paper has isolated and quantified.</w:t>
      </w:r>
    </w:p>
    <w:p>
      <w:pPr>
        <w:pStyle w:val="Heading"/>
        <w:spacing w:before="320" w:after="160"/>
      </w:pPr>
      <w:r>
        <w:rPr>
          <w:outline w:val="0"/>
          <w:color w:val="000000"/>
          <w:u w:color="000000"/>
          <w:rtl w:val="0"/>
          <w:lang w:val="en-US"/>
          <w14:textFill>
            <w14:solidFill>
              <w14:srgbClr w14:val="000000"/>
            </w14:solidFill>
          </w14:textFill>
        </w:rPr>
        <w:t>Data Availability Statement</w:t>
      </w:r>
    </w:p>
    <w:p>
      <w:pPr>
        <w:pStyle w:val="Heading"/>
        <w:spacing w:before="320" w:after="160"/>
        <w:rPr>
          <w:b w:val="0"/>
          <w:bCs w:val="0"/>
          <w:outline w:val="0"/>
          <w:color w:val="000000"/>
          <w:sz w:val="22"/>
          <w:szCs w:val="22"/>
          <w:u w:color="000000"/>
          <w14:textFill>
            <w14:solidFill>
              <w14:srgbClr w14:val="000000"/>
            </w14:solidFill>
          </w14:textFill>
        </w:rPr>
      </w:pPr>
      <w:r>
        <w:rPr>
          <w:b w:val="0"/>
          <w:bCs w:val="0"/>
          <w:outline w:val="0"/>
          <w:color w:val="000000"/>
          <w:sz w:val="22"/>
          <w:szCs w:val="22"/>
          <w:u w:color="000000"/>
          <w:rtl w:val="0"/>
          <w:lang w:val="en-US"/>
          <w14:textFill>
            <w14:solidFill>
              <w14:srgbClr w14:val="000000"/>
            </w14:solidFill>
          </w14:textFill>
        </w:rPr>
        <w:t>All measurement data (one table per structure, each row citing its specific source) and the complete analysis code (reproducing Tables 1, 2a, 2b, and 3) are provided in full in the accompanying Supplementary Data and Code document, submitted alongside this manuscript in PDF format.</w:t>
      </w:r>
    </w:p>
    <w:p>
      <w:pPr>
        <w:pStyle w:val="Heading"/>
        <w:spacing w:before="320" w:after="160"/>
      </w:pPr>
      <w:r>
        <w:rPr>
          <w:b w:val="0"/>
          <w:bCs w:val="0"/>
          <w:outline w:val="0"/>
          <w:color w:val="000000"/>
          <w:sz w:val="22"/>
          <w:szCs w:val="22"/>
          <w:u w:color="000000"/>
          <w:rtl w:val="0"/>
          <w:lang w:val="it-IT"/>
          <w14:textFill>
            <w14:solidFill>
              <w14:srgbClr w14:val="000000"/>
            </w14:solidFill>
          </w14:textFill>
        </w:rPr>
        <w:t>(Download the dataset here</w:t>
      </w:r>
      <w:r>
        <w:rPr>
          <w:b w:val="0"/>
          <w:bCs w:val="0"/>
          <w:sz w:val="20"/>
          <w:szCs w:val="20"/>
          <w:rtl w:val="0"/>
          <w:lang w:val="it-IT"/>
        </w:rPr>
        <w:t xml:space="preserve"> </w:t>
      </w:r>
      <w:r>
        <w:rPr>
          <w:rStyle w:val="Hyperlink.1"/>
        </w:rPr>
        <w:fldChar w:fldCharType="begin" w:fldLock="0"/>
      </w:r>
      <w:r>
        <w:rPr>
          <w:rStyle w:val="Hyperlink.1"/>
        </w:rPr>
        <w:instrText xml:space="preserve"> HYPERLINK "https://doi.org/10.6084/m9.figshare.32956913"</w:instrText>
      </w:r>
      <w:r>
        <w:rPr>
          <w:rStyle w:val="Hyperlink.1"/>
        </w:rPr>
        <w:fldChar w:fldCharType="separate" w:fldLock="0"/>
      </w:r>
      <w:r>
        <w:rPr>
          <w:rStyle w:val="Hyperlink.1"/>
          <w:rtl w:val="0"/>
          <w:lang w:val="en-US"/>
        </w:rPr>
        <w:t>https://doi.org/10.6084/m9.figshare.32956913</w:t>
      </w:r>
      <w:r>
        <w:rPr/>
        <w:fldChar w:fldCharType="end" w:fldLock="0"/>
      </w:r>
      <w:r>
        <w:rPr>
          <w:b w:val="0"/>
          <w:bCs w:val="0"/>
          <w:outline w:val="0"/>
          <w:color w:val="000000"/>
          <w:sz w:val="22"/>
          <w:szCs w:val="22"/>
          <w:u w:color="000000"/>
          <w:rtl w:val="0"/>
          <w:lang w:val="it-IT"/>
          <w14:textFill>
            <w14:solidFill>
              <w14:srgbClr w14:val="000000"/>
            </w14:solidFill>
          </w14:textFill>
        </w:rPr>
        <w:t xml:space="preserve"> )</w:t>
      </w:r>
    </w:p>
    <w:p>
      <w:pPr>
        <w:pStyle w:val="Heading"/>
        <w:spacing w:before="320" w:after="160"/>
      </w:pPr>
    </w:p>
    <w:p>
      <w:pPr>
        <w:pStyle w:val="Heading"/>
        <w:spacing w:before="320" w:after="160"/>
      </w:pPr>
    </w:p>
    <w:p>
      <w:pPr>
        <w:pStyle w:val="Heading"/>
        <w:spacing w:before="320" w:after="160"/>
      </w:pPr>
    </w:p>
    <w:p>
      <w:pPr>
        <w:pStyle w:val="Heading"/>
        <w:spacing w:before="320" w:after="160"/>
      </w:pPr>
      <w:r>
        <w:rPr>
          <w:outline w:val="0"/>
          <w:color w:val="000000"/>
          <w:u w:color="000000"/>
          <w:rtl w:val="0"/>
          <w:lang w:val="fr-FR"/>
          <w14:textFill>
            <w14:solidFill>
              <w14:srgbClr w14:val="000000"/>
            </w14:solidFill>
          </w14:textFill>
        </w:rPr>
        <w:t>References</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Brophy, T. G., &amp; Rosen, P. A. (2005). Satellite imagery measures of the astronomically aligned megaliths at Nabta Playa. Mediterranean Archaeology and Archaeometry, 5, 15-24.</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Cole, J. H. (1925). Determination of the Exact Size and Orientation of the Great Pyramid of Giza. Survey of Egypt Paper No. 39. Cairo: Government Press.</w:t>
      </w:r>
    </w:p>
    <w:p>
      <w:pPr>
        <w:pStyle w:val="Heading"/>
        <w:spacing w:before="320" w:after="160"/>
      </w:pPr>
      <w:r>
        <w:rPr>
          <w:b w:val="0"/>
          <w:bCs w:val="0"/>
          <w:outline w:val="0"/>
          <w:color w:val="000000"/>
          <w:sz w:val="22"/>
          <w:szCs w:val="22"/>
          <w:u w:color="000000"/>
          <w:rtl w:val="0"/>
          <w:lang w:val="de-DE"/>
          <w14:textFill>
            <w14:solidFill>
              <w14:srgbClr w14:val="000000"/>
            </w14:solidFill>
          </w14:textFill>
        </w:rPr>
        <w:t xml:space="preserve">Dorner, J. (1981). Die Absteckung und astronomische Orientierung </w:t>
      </w:r>
      <w:r>
        <w:rPr>
          <w:b w:val="0"/>
          <w:bCs w:val="0"/>
          <w:outline w:val="0"/>
          <w:color w:val="000000"/>
          <w:sz w:val="22"/>
          <w:szCs w:val="22"/>
          <w:u w:color="000000"/>
          <w:rtl w:val="0"/>
          <w14:textFill>
            <w14:solidFill>
              <w14:srgbClr w14:val="000000"/>
            </w14:solidFill>
          </w14:textFill>
        </w:rPr>
        <w:t>ä</w:t>
      </w:r>
      <w:r>
        <w:rPr>
          <w:b w:val="0"/>
          <w:bCs w:val="0"/>
          <w:outline w:val="0"/>
          <w:color w:val="000000"/>
          <w:sz w:val="22"/>
          <w:szCs w:val="22"/>
          <w:u w:color="000000"/>
          <w:rtl w:val="0"/>
          <w:lang w:val="en-US"/>
          <w14:textFill>
            <w14:solidFill>
              <w14:srgbClr w14:val="000000"/>
            </w14:solidFill>
          </w14:textFill>
        </w:rPr>
        <w:t>gyptischer Pyramiden. Unpublished PhD dissertation, University of Innsbruck.</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Lehner, M. (1997). The Complete Pyramids: Solving the Ancient Mysteries. London: Thames and Hudson.</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Malville, J. M., Wendorf, F., Mazar, A. A., &amp; Schild, R. (1998). Megaliths and Neolithic astronomy in southern Egypt. Nature, 392, 488-491.</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Petrie, W. M. F. (1883). The Pyramids and Temples of Gizeh. London: Field &amp; Tuer.</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Piazzi Smyth, C. (1864). Our Inheritance in the Great Pyramid. London: Alexander Strahan.</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Taylor, J. (1859). The Great Pyramid: Why Was It Built, &amp; Who Built It? London: Longman, Green, Longman, and Roberts.</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Vitruvius Pollio, M. De Architectura (M. H. Morgan, Trans., 1914). Cambridge, MA: Harvard University Press.</w:t>
      </w:r>
    </w:p>
    <w:p>
      <w:pPr>
        <w:pStyle w:val="Heading"/>
        <w:spacing w:before="320" w:after="160"/>
      </w:pPr>
      <w:r>
        <w:rPr>
          <w:b w:val="0"/>
          <w:bCs w:val="0"/>
          <w:outline w:val="0"/>
          <w:color w:val="000000"/>
          <w:sz w:val="22"/>
          <w:szCs w:val="22"/>
          <w:u w:color="000000"/>
          <w:rtl w:val="0"/>
          <w:lang w:val="en-US"/>
          <w14:textFill>
            <w14:solidFill>
              <w14:srgbClr w14:val="000000"/>
            </w14:solidFill>
          </w14:textFill>
        </w:rPr>
        <w:t>Vondoom, A. (2026). Cognitive Foundations of Early Egyptian Civilization: Insights from the Deep Symbolic Systems Model (DSSM). IWNW (in press). doi: 10.21608/iwnw.2026.464676.1075.</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outline w:val="0"/>
        <w:color w:val="000000"/>
        <w:sz w:val="20"/>
        <w:szCs w:val="20"/>
        <w:u w:color="000000"/>
        <w14:textFill>
          <w14:solidFill>
            <w14:srgbClr w14:val="000000"/>
          </w14:solidFill>
        </w14:textFill>
      </w:rPr>
      <w:fldChar w:fldCharType="begin" w:fldLock="0"/>
    </w:r>
    <w:r>
      <w:rPr>
        <w:rFonts w:ascii="Verdana" w:hAnsi="Verdana"/>
        <w:outline w:val="0"/>
        <w:color w:val="000000"/>
        <w:sz w:val="20"/>
        <w:szCs w:val="20"/>
        <w:u w:color="000000"/>
        <w14:textFill>
          <w14:solidFill>
            <w14:srgbClr w14:val="000000"/>
          </w14:solidFill>
        </w14:textFill>
      </w:rPr>
      <w:instrText xml:space="preserve"> PAGE </w:instrText>
    </w:r>
    <w:r>
      <w:rPr>
        <w:rFonts w:ascii="Verdana" w:hAnsi="Verdana"/>
        <w:outline w:val="0"/>
        <w:color w:val="000000"/>
        <w:sz w:val="20"/>
        <w:szCs w:val="20"/>
        <w:u w:color="000000"/>
        <w14:textFill>
          <w14:solidFill>
            <w14:srgbClr w14:val="000000"/>
          </w14:solidFill>
        </w14:textFill>
      </w:rPr>
      <w:fldChar w:fldCharType="separate" w:fldLock="0"/>
    </w:r>
    <w:r>
      <w:rPr>
        <w:rFonts w:ascii="Verdana" w:hAnsi="Verdana"/>
        <w:outline w:val="0"/>
        <w:color w:val="000000"/>
        <w:sz w:val="20"/>
        <w:szCs w:val="20"/>
        <w:u w:color="000000"/>
        <w14:textFill>
          <w14:solidFill>
            <w14:srgbClr w14:val="000000"/>
          </w14:solidFill>
        </w14:textFill>
      </w:rPr>
    </w:r>
    <w:r>
      <w:rPr>
        <w:rFonts w:ascii="Verdana" w:hAnsi="Verdana"/>
        <w:outline w:val="0"/>
        <w:color w:val="000000"/>
        <w:sz w:val="20"/>
        <w:szCs w:val="20"/>
        <w:u w:color="00000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68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ind w:left="140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2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4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56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28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0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2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4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Verdana" w:cs="Arial Unicode MS" w:hAnsi="Verdana"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de-DE"/>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0" w:after="0" w:line="240" w:lineRule="auto"/>
      <w:ind w:left="0" w:right="0" w:firstLine="0"/>
      <w:jc w:val="left"/>
      <w:outlineLvl w:val="1"/>
    </w:pPr>
    <w:rPr>
      <w:rFonts w:ascii="Verdana" w:cs="Arial Unicode MS" w:hAnsi="Verdan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1">
    <w:name w:val="Hyperlink.1"/>
    <w:basedOn w:val="Hyperlink.0"/>
    <w:next w:val="Hyperlink.1"/>
    <w:rPr>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