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EABC" w14:textId="77777777" w:rsidR="00C96F90" w:rsidRPr="00DF03CE" w:rsidRDefault="00000000">
      <w:pPr>
        <w:spacing w:before="720" w:after="80"/>
        <w:jc w:val="center"/>
        <w:rPr>
          <w:color w:val="000000" w:themeColor="text1"/>
        </w:rPr>
      </w:pPr>
      <w:r w:rsidRPr="00DF03CE">
        <w:rPr>
          <w:b/>
          <w:bCs/>
          <w:color w:val="000000" w:themeColor="text1"/>
          <w:sz w:val="40"/>
          <w:szCs w:val="40"/>
        </w:rPr>
        <w:t>The Deep Symbolic Systems Model (DSSM)</w:t>
      </w:r>
    </w:p>
    <w:p w14:paraId="251002D1" w14:textId="77777777" w:rsidR="00C96F90" w:rsidRPr="00DF03CE" w:rsidRDefault="00000000">
      <w:pPr>
        <w:spacing w:after="80"/>
        <w:jc w:val="center"/>
        <w:rPr>
          <w:color w:val="000000" w:themeColor="text1"/>
        </w:rPr>
      </w:pPr>
      <w:r w:rsidRPr="00DF03CE">
        <w:rPr>
          <w:color w:val="000000" w:themeColor="text1"/>
          <w:sz w:val="26"/>
          <w:szCs w:val="26"/>
        </w:rPr>
        <w:t>A Cognitive–Ritual Framework for Early Monumentality and Cultural Continuity</w:t>
      </w:r>
    </w:p>
    <w:p w14:paraId="7248E191" w14:textId="77777777" w:rsidR="00C96F90" w:rsidRPr="00DF03CE" w:rsidRDefault="00000000">
      <w:pPr>
        <w:spacing w:after="60"/>
        <w:jc w:val="center"/>
        <w:rPr>
          <w:color w:val="000000" w:themeColor="text1"/>
        </w:rPr>
      </w:pPr>
      <w:r w:rsidRPr="00DF03CE">
        <w:rPr>
          <w:color w:val="000000" w:themeColor="text1"/>
        </w:rPr>
        <w:t>Revised Edition</w:t>
      </w:r>
    </w:p>
    <w:p w14:paraId="7102691D" w14:textId="77777777" w:rsidR="00C96F90" w:rsidRPr="00DF03CE" w:rsidRDefault="00C96F90">
      <w:pPr>
        <w:pBdr>
          <w:bottom w:val="single" w:sz="4" w:space="1" w:color="2E5FA3"/>
        </w:pBdr>
        <w:spacing w:before="120" w:after="120"/>
        <w:rPr>
          <w:color w:val="000000" w:themeColor="text1"/>
        </w:rPr>
      </w:pPr>
    </w:p>
    <w:p w14:paraId="04877DE4" w14:textId="77777777" w:rsidR="00C96F90" w:rsidRPr="00DF03CE" w:rsidRDefault="00000000">
      <w:pPr>
        <w:spacing w:before="100" w:after="40"/>
        <w:jc w:val="center"/>
        <w:rPr>
          <w:color w:val="000000" w:themeColor="text1"/>
        </w:rPr>
      </w:pPr>
      <w:r w:rsidRPr="00DF03CE">
        <w:rPr>
          <w:b/>
          <w:bCs/>
          <w:color w:val="000000" w:themeColor="text1"/>
          <w:sz w:val="24"/>
          <w:szCs w:val="24"/>
        </w:rPr>
        <w:t>Anthony Vondoom</w:t>
      </w:r>
    </w:p>
    <w:p w14:paraId="5CF54D26" w14:textId="551BFC91" w:rsidR="00C96F90" w:rsidRPr="00DF03CE" w:rsidRDefault="00000000">
      <w:pPr>
        <w:spacing w:after="40"/>
        <w:jc w:val="center"/>
        <w:rPr>
          <w:color w:val="000000" w:themeColor="text1"/>
        </w:rPr>
      </w:pPr>
      <w:r w:rsidRPr="00DF03CE">
        <w:rPr>
          <w:color w:val="000000" w:themeColor="text1"/>
        </w:rPr>
        <w:t xml:space="preserve">Independent </w:t>
      </w:r>
      <w:proofErr w:type="spellStart"/>
      <w:proofErr w:type="gramStart"/>
      <w:r w:rsidRPr="00DF03CE">
        <w:rPr>
          <w:color w:val="000000" w:themeColor="text1"/>
        </w:rPr>
        <w:t>Researcher</w:t>
      </w:r>
      <w:r w:rsidR="00DF03CE" w:rsidRPr="00DF03CE">
        <w:rPr>
          <w:color w:val="000000" w:themeColor="text1"/>
        </w:rPr>
        <w:t>,Cognitive</w:t>
      </w:r>
      <w:proofErr w:type="spellEnd"/>
      <w:proofErr w:type="gramEnd"/>
      <w:r w:rsidR="00DF03CE" w:rsidRPr="00DF03CE">
        <w:rPr>
          <w:color w:val="000000" w:themeColor="text1"/>
        </w:rPr>
        <w:t xml:space="preserve"> Archaeology</w:t>
      </w:r>
    </w:p>
    <w:p w14:paraId="18D297F2" w14:textId="053EE64D" w:rsidR="00DF03CE" w:rsidRPr="00DF03CE" w:rsidRDefault="00DF03CE">
      <w:pPr>
        <w:spacing w:after="40"/>
        <w:jc w:val="center"/>
        <w:rPr>
          <w:color w:val="000000" w:themeColor="text1"/>
        </w:rPr>
      </w:pPr>
      <w:proofErr w:type="spellStart"/>
      <w:r w:rsidRPr="00DF03CE">
        <w:rPr>
          <w:color w:val="000000" w:themeColor="text1"/>
        </w:rPr>
        <w:t>Sirmione</w:t>
      </w:r>
      <w:proofErr w:type="spellEnd"/>
      <w:r w:rsidRPr="00DF03CE">
        <w:rPr>
          <w:color w:val="000000" w:themeColor="text1"/>
        </w:rPr>
        <w:t>, Italy</w:t>
      </w:r>
    </w:p>
    <w:p w14:paraId="32F45A6B" w14:textId="77777777" w:rsidR="00DF03CE" w:rsidRPr="00DF03CE" w:rsidRDefault="00DF03CE">
      <w:pPr>
        <w:spacing w:after="40"/>
        <w:jc w:val="center"/>
        <w:rPr>
          <w:color w:val="000000" w:themeColor="text1"/>
        </w:rPr>
      </w:pPr>
    </w:p>
    <w:p w14:paraId="499D82EC" w14:textId="3B8045C8" w:rsidR="00C96F90" w:rsidRPr="00DF03CE" w:rsidRDefault="00000000">
      <w:pPr>
        <w:spacing w:after="40"/>
        <w:jc w:val="center"/>
        <w:rPr>
          <w:color w:val="000000" w:themeColor="text1"/>
        </w:rPr>
      </w:pPr>
      <w:r w:rsidRPr="00DF03CE">
        <w:rPr>
          <w:color w:val="000000" w:themeColor="text1"/>
          <w:sz w:val="20"/>
          <w:szCs w:val="20"/>
        </w:rPr>
        <w:t>ORCID: 0009-0003-4953-</w:t>
      </w:r>
      <w:proofErr w:type="gramStart"/>
      <w:r w:rsidRPr="00DF03CE">
        <w:rPr>
          <w:color w:val="000000" w:themeColor="text1"/>
          <w:sz w:val="20"/>
          <w:szCs w:val="20"/>
        </w:rPr>
        <w:t>1427  |</w:t>
      </w:r>
      <w:proofErr w:type="gramEnd"/>
      <w:r w:rsidRPr="00DF03CE">
        <w:rPr>
          <w:color w:val="000000" w:themeColor="text1"/>
          <w:sz w:val="20"/>
          <w:szCs w:val="20"/>
        </w:rPr>
        <w:t xml:space="preserve">  </w:t>
      </w:r>
      <w:r w:rsidR="00DF03CE" w:rsidRPr="00DF03CE">
        <w:rPr>
          <w:color w:val="000000" w:themeColor="text1"/>
          <w:sz w:val="20"/>
          <w:szCs w:val="20"/>
        </w:rPr>
        <w:t>a</w:t>
      </w:r>
      <w:r w:rsidRPr="00DF03CE">
        <w:rPr>
          <w:color w:val="000000" w:themeColor="text1"/>
          <w:sz w:val="20"/>
          <w:szCs w:val="20"/>
        </w:rPr>
        <w:t>nthony.vondoom@outlook.com</w:t>
      </w:r>
    </w:p>
    <w:p w14:paraId="3AB46297" w14:textId="77777777" w:rsidR="00C96F90" w:rsidRPr="00DF03CE" w:rsidRDefault="00C96F90">
      <w:pPr>
        <w:pBdr>
          <w:bottom w:val="single" w:sz="4" w:space="1" w:color="2E5FA3"/>
        </w:pBdr>
        <w:spacing w:before="120" w:after="120"/>
        <w:rPr>
          <w:color w:val="000000" w:themeColor="text1"/>
        </w:rPr>
      </w:pPr>
    </w:p>
    <w:p w14:paraId="3B30A8EC" w14:textId="77777777" w:rsidR="00DF03CE" w:rsidRPr="00DF03CE" w:rsidRDefault="00DF03CE">
      <w:pPr>
        <w:spacing w:before="80" w:after="40"/>
        <w:jc w:val="center"/>
        <w:rPr>
          <w:color w:val="000000" w:themeColor="text1"/>
          <w:sz w:val="20"/>
          <w:szCs w:val="20"/>
        </w:rPr>
      </w:pPr>
    </w:p>
    <w:p w14:paraId="20D12244" w14:textId="77777777" w:rsidR="00DF03CE" w:rsidRPr="00DF03CE" w:rsidRDefault="00DF03CE">
      <w:pPr>
        <w:spacing w:before="80" w:after="40"/>
        <w:jc w:val="center"/>
        <w:rPr>
          <w:color w:val="000000" w:themeColor="text1"/>
          <w:sz w:val="20"/>
          <w:szCs w:val="20"/>
        </w:rPr>
      </w:pPr>
    </w:p>
    <w:p w14:paraId="615EF2D0" w14:textId="77777777" w:rsidR="00DF03CE" w:rsidRPr="00DF03CE" w:rsidRDefault="00DF03CE">
      <w:pPr>
        <w:spacing w:before="80" w:after="40"/>
        <w:jc w:val="center"/>
        <w:rPr>
          <w:color w:val="000000" w:themeColor="text1"/>
          <w:sz w:val="20"/>
          <w:szCs w:val="20"/>
        </w:rPr>
      </w:pPr>
    </w:p>
    <w:p w14:paraId="1D479181" w14:textId="77777777" w:rsidR="00DF03CE" w:rsidRPr="00DF03CE" w:rsidRDefault="00DF03CE">
      <w:pPr>
        <w:spacing w:before="80" w:after="40"/>
        <w:jc w:val="center"/>
        <w:rPr>
          <w:color w:val="000000" w:themeColor="text1"/>
          <w:sz w:val="20"/>
          <w:szCs w:val="20"/>
        </w:rPr>
      </w:pPr>
    </w:p>
    <w:p w14:paraId="3DFEA4AB" w14:textId="77777777" w:rsidR="00DF03CE" w:rsidRPr="00DF03CE" w:rsidRDefault="00DF03CE">
      <w:pPr>
        <w:spacing w:before="80" w:after="40"/>
        <w:jc w:val="center"/>
        <w:rPr>
          <w:color w:val="000000" w:themeColor="text1"/>
          <w:sz w:val="20"/>
          <w:szCs w:val="20"/>
        </w:rPr>
      </w:pPr>
    </w:p>
    <w:p w14:paraId="34F9757D" w14:textId="77777777" w:rsidR="00DF03CE" w:rsidRPr="00DF03CE" w:rsidRDefault="00DF03CE">
      <w:pPr>
        <w:spacing w:before="80" w:after="40"/>
        <w:jc w:val="center"/>
        <w:rPr>
          <w:color w:val="000000" w:themeColor="text1"/>
          <w:sz w:val="20"/>
          <w:szCs w:val="20"/>
        </w:rPr>
      </w:pPr>
    </w:p>
    <w:p w14:paraId="34D71C51" w14:textId="77777777" w:rsidR="00DF03CE" w:rsidRPr="00DF03CE" w:rsidRDefault="00DF03CE">
      <w:pPr>
        <w:spacing w:before="80" w:after="40"/>
        <w:jc w:val="center"/>
        <w:rPr>
          <w:color w:val="000000" w:themeColor="text1"/>
          <w:sz w:val="20"/>
          <w:szCs w:val="20"/>
        </w:rPr>
      </w:pPr>
    </w:p>
    <w:p w14:paraId="5A525B7A" w14:textId="77777777" w:rsidR="00DF03CE" w:rsidRPr="00DF03CE" w:rsidRDefault="00DF03CE">
      <w:pPr>
        <w:spacing w:before="80" w:after="40"/>
        <w:jc w:val="center"/>
        <w:rPr>
          <w:color w:val="000000" w:themeColor="text1"/>
          <w:sz w:val="20"/>
          <w:szCs w:val="20"/>
        </w:rPr>
      </w:pPr>
    </w:p>
    <w:p w14:paraId="31E1FC95" w14:textId="77777777" w:rsidR="00DF03CE" w:rsidRPr="00DF03CE" w:rsidRDefault="00DF03CE">
      <w:pPr>
        <w:spacing w:before="80" w:after="40"/>
        <w:jc w:val="center"/>
        <w:rPr>
          <w:color w:val="000000" w:themeColor="text1"/>
          <w:sz w:val="20"/>
          <w:szCs w:val="20"/>
        </w:rPr>
      </w:pPr>
    </w:p>
    <w:p w14:paraId="3636245A" w14:textId="77777777" w:rsidR="00DF03CE" w:rsidRPr="00DF03CE" w:rsidRDefault="00DF03CE">
      <w:pPr>
        <w:spacing w:before="80" w:after="40"/>
        <w:jc w:val="center"/>
        <w:rPr>
          <w:color w:val="000000" w:themeColor="text1"/>
          <w:sz w:val="20"/>
          <w:szCs w:val="20"/>
        </w:rPr>
      </w:pPr>
    </w:p>
    <w:p w14:paraId="3FAFB0E9" w14:textId="77777777" w:rsidR="00DF03CE" w:rsidRPr="00DF03CE" w:rsidRDefault="00DF03CE">
      <w:pPr>
        <w:spacing w:before="80" w:after="40"/>
        <w:jc w:val="center"/>
        <w:rPr>
          <w:color w:val="000000" w:themeColor="text1"/>
          <w:sz w:val="20"/>
          <w:szCs w:val="20"/>
        </w:rPr>
      </w:pPr>
    </w:p>
    <w:p w14:paraId="176A569F" w14:textId="77777777" w:rsidR="00DF03CE" w:rsidRPr="00DF03CE" w:rsidRDefault="00DF03CE">
      <w:pPr>
        <w:spacing w:before="80" w:after="40"/>
        <w:jc w:val="center"/>
        <w:rPr>
          <w:color w:val="000000" w:themeColor="text1"/>
          <w:sz w:val="20"/>
          <w:szCs w:val="20"/>
        </w:rPr>
      </w:pPr>
    </w:p>
    <w:p w14:paraId="70A2CF5D" w14:textId="77777777" w:rsidR="00DF03CE" w:rsidRPr="00DF03CE" w:rsidRDefault="00DF03CE">
      <w:pPr>
        <w:spacing w:before="80" w:after="40"/>
        <w:jc w:val="center"/>
        <w:rPr>
          <w:color w:val="000000" w:themeColor="text1"/>
          <w:sz w:val="20"/>
          <w:szCs w:val="20"/>
        </w:rPr>
      </w:pPr>
    </w:p>
    <w:p w14:paraId="0790107D" w14:textId="77777777" w:rsidR="00DF03CE" w:rsidRPr="00DF03CE" w:rsidRDefault="00DF03CE">
      <w:pPr>
        <w:spacing w:before="80" w:after="40"/>
        <w:jc w:val="center"/>
        <w:rPr>
          <w:color w:val="000000" w:themeColor="text1"/>
          <w:sz w:val="20"/>
          <w:szCs w:val="20"/>
        </w:rPr>
      </w:pPr>
    </w:p>
    <w:p w14:paraId="5B1F848B" w14:textId="77777777" w:rsidR="00DF03CE" w:rsidRPr="00DF03CE" w:rsidRDefault="00DF03CE">
      <w:pPr>
        <w:spacing w:before="80" w:after="40"/>
        <w:jc w:val="center"/>
        <w:rPr>
          <w:color w:val="000000" w:themeColor="text1"/>
          <w:sz w:val="20"/>
          <w:szCs w:val="20"/>
        </w:rPr>
      </w:pPr>
    </w:p>
    <w:p w14:paraId="45489554" w14:textId="77777777" w:rsidR="00DF03CE" w:rsidRPr="00DF03CE" w:rsidRDefault="00DF03CE">
      <w:pPr>
        <w:spacing w:before="80" w:after="40"/>
        <w:jc w:val="center"/>
        <w:rPr>
          <w:color w:val="000000" w:themeColor="text1"/>
          <w:sz w:val="20"/>
          <w:szCs w:val="20"/>
        </w:rPr>
      </w:pPr>
    </w:p>
    <w:p w14:paraId="62912F3C" w14:textId="77777777" w:rsidR="00DF03CE" w:rsidRPr="00DF03CE" w:rsidRDefault="00DF03CE">
      <w:pPr>
        <w:spacing w:before="80" w:after="40"/>
        <w:jc w:val="center"/>
        <w:rPr>
          <w:color w:val="000000" w:themeColor="text1"/>
          <w:sz w:val="20"/>
          <w:szCs w:val="20"/>
        </w:rPr>
      </w:pPr>
    </w:p>
    <w:p w14:paraId="5849F75F" w14:textId="77777777" w:rsidR="00DF03CE" w:rsidRPr="00DF03CE" w:rsidRDefault="00DF03CE">
      <w:pPr>
        <w:spacing w:before="80" w:after="40"/>
        <w:jc w:val="center"/>
        <w:rPr>
          <w:color w:val="000000" w:themeColor="text1"/>
          <w:sz w:val="20"/>
          <w:szCs w:val="20"/>
        </w:rPr>
      </w:pPr>
    </w:p>
    <w:p w14:paraId="328E99BE" w14:textId="0CA63035" w:rsidR="00DF03CE" w:rsidRPr="00DF03CE" w:rsidRDefault="00DF03CE">
      <w:pPr>
        <w:spacing w:before="80" w:after="40"/>
        <w:jc w:val="center"/>
        <w:rPr>
          <w:color w:val="000000" w:themeColor="text1"/>
          <w:sz w:val="20"/>
          <w:szCs w:val="20"/>
        </w:rPr>
      </w:pPr>
      <w:r w:rsidRPr="00DF03CE">
        <w:rPr>
          <w:color w:val="000000" w:themeColor="text1"/>
          <w:sz w:val="20"/>
          <w:szCs w:val="20"/>
        </w:rPr>
        <w:t xml:space="preserve">Original </w:t>
      </w:r>
      <w:proofErr w:type="gramStart"/>
      <w:r w:rsidRPr="00DF03CE">
        <w:rPr>
          <w:color w:val="000000" w:themeColor="text1"/>
          <w:sz w:val="20"/>
          <w:szCs w:val="20"/>
        </w:rPr>
        <w:t>Version :</w:t>
      </w:r>
      <w:proofErr w:type="gramEnd"/>
      <w:r w:rsidRPr="00DF03CE">
        <w:rPr>
          <w:color w:val="000000" w:themeColor="text1"/>
          <w:sz w:val="20"/>
          <w:szCs w:val="20"/>
        </w:rPr>
        <w:t xml:space="preserve"> </w:t>
      </w:r>
    </w:p>
    <w:p w14:paraId="3536FFF1" w14:textId="28A3E4D5" w:rsidR="00C96F90" w:rsidRPr="00DF03CE" w:rsidRDefault="00000000">
      <w:pPr>
        <w:spacing w:before="80" w:after="40"/>
        <w:jc w:val="center"/>
        <w:rPr>
          <w:color w:val="000000" w:themeColor="text1"/>
        </w:rPr>
      </w:pPr>
      <w:r w:rsidRPr="00DF03CE">
        <w:rPr>
          <w:color w:val="000000" w:themeColor="text1"/>
          <w:sz w:val="20"/>
          <w:szCs w:val="20"/>
        </w:rPr>
        <w:t>SSRN: http://dx.doi.org/10.2139/ssrn.6003734</w:t>
      </w:r>
    </w:p>
    <w:p w14:paraId="1A058629" w14:textId="77777777" w:rsidR="00C96F90" w:rsidRPr="00DF03CE" w:rsidRDefault="00000000">
      <w:pPr>
        <w:spacing w:after="80"/>
        <w:jc w:val="center"/>
        <w:rPr>
          <w:color w:val="000000" w:themeColor="text1"/>
        </w:rPr>
      </w:pPr>
      <w:r w:rsidRPr="00DF03CE">
        <w:rPr>
          <w:color w:val="000000" w:themeColor="text1"/>
          <w:sz w:val="20"/>
          <w:szCs w:val="20"/>
        </w:rPr>
        <w:t>OSF: https://doi.org/10.17605/OSF.IO/YW5GM</w:t>
      </w:r>
    </w:p>
    <w:p w14:paraId="60F8A2EB" w14:textId="77777777" w:rsidR="00C96F90" w:rsidRPr="00DF03CE" w:rsidRDefault="00C96F90">
      <w:pPr>
        <w:pBdr>
          <w:bottom w:val="single" w:sz="4" w:space="1" w:color="2E5FA3"/>
        </w:pBdr>
        <w:spacing w:before="120" w:after="120"/>
        <w:rPr>
          <w:color w:val="000000" w:themeColor="text1"/>
        </w:rPr>
      </w:pPr>
    </w:p>
    <w:p w14:paraId="3D8EEAE9" w14:textId="2379D885" w:rsidR="00C96F90" w:rsidRPr="00DF03CE" w:rsidRDefault="00000000">
      <w:pPr>
        <w:spacing w:before="100" w:after="80"/>
        <w:rPr>
          <w:color w:val="000000" w:themeColor="text1"/>
        </w:rPr>
      </w:pPr>
      <w:r w:rsidRPr="00DF03CE">
        <w:rPr>
          <w:b/>
          <w:bCs/>
          <w:color w:val="000000" w:themeColor="text1"/>
          <w:sz w:val="20"/>
          <w:szCs w:val="20"/>
        </w:rPr>
        <w:t xml:space="preserve">AI Assistance Disclosure: </w:t>
      </w:r>
      <w:r w:rsidRPr="00DF03CE">
        <w:rPr>
          <w:color w:val="000000" w:themeColor="text1"/>
          <w:sz w:val="20"/>
          <w:szCs w:val="20"/>
        </w:rPr>
        <w:t>This paper was developed with editorial and structural support from Claude Sonnet (Anthropic)</w:t>
      </w:r>
      <w:r w:rsidR="00DF03CE" w:rsidRPr="00DF03CE">
        <w:rPr>
          <w:color w:val="000000" w:themeColor="text1"/>
          <w:sz w:val="20"/>
          <w:szCs w:val="20"/>
        </w:rPr>
        <w:t xml:space="preserve"> and ChatGPT (Open AI)</w:t>
      </w:r>
      <w:r w:rsidRPr="00DF03CE">
        <w:rPr>
          <w:color w:val="000000" w:themeColor="text1"/>
          <w:sz w:val="20"/>
          <w:szCs w:val="20"/>
        </w:rPr>
        <w:t>. The theoretical framework, arguments, and conclusions are solely those of the author. AI assistance is disclosed in accordance with the author's standard publication practice.</w:t>
      </w:r>
    </w:p>
    <w:p w14:paraId="2ED6C8CF" w14:textId="77777777" w:rsidR="00C96F90" w:rsidRPr="00DF03CE" w:rsidRDefault="00000000">
      <w:pPr>
        <w:rPr>
          <w:color w:val="000000" w:themeColor="text1"/>
        </w:rPr>
      </w:pPr>
      <w:r w:rsidRPr="00DF03CE">
        <w:rPr>
          <w:color w:val="000000" w:themeColor="text1"/>
        </w:rPr>
        <w:br w:type="page"/>
      </w:r>
    </w:p>
    <w:p w14:paraId="00E270B7" w14:textId="77777777" w:rsidR="00C96F90" w:rsidRPr="00DF03CE" w:rsidRDefault="00000000">
      <w:pPr>
        <w:pStyle w:val="Heading1"/>
        <w:pageBreakBefore/>
        <w:rPr>
          <w:color w:val="000000" w:themeColor="text1"/>
        </w:rPr>
      </w:pPr>
      <w:r w:rsidRPr="00DF03CE">
        <w:rPr>
          <w:color w:val="000000" w:themeColor="text1"/>
        </w:rPr>
        <w:lastRenderedPageBreak/>
        <w:t>Abstract</w:t>
      </w:r>
    </w:p>
    <w:p w14:paraId="0A0AC2D9" w14:textId="77777777" w:rsidR="00C96F90" w:rsidRPr="00DF03CE" w:rsidRDefault="00000000">
      <w:pPr>
        <w:spacing w:before="80" w:after="120"/>
        <w:jc w:val="both"/>
        <w:rPr>
          <w:color w:val="000000" w:themeColor="text1"/>
        </w:rPr>
      </w:pPr>
      <w:r w:rsidRPr="00DF03CE">
        <w:rPr>
          <w:color w:val="000000" w:themeColor="text1"/>
        </w:rPr>
        <w:t>The emergence of monumental ritual architecture and durable symbolic behavior predates agriculture, urbanism, and writing by millennia, presenting a direct challenge to conventional archaeological narratives that treat symbolic complexity as a downstream consequence of economic surplus.</w:t>
      </w:r>
      <w:r w:rsidRPr="00DF03CE">
        <w:rPr>
          <w:rStyle w:val="FootnoteReference"/>
          <w:color w:val="000000" w:themeColor="text1"/>
        </w:rPr>
        <w:footnoteReference w:id="1"/>
      </w:r>
      <w:r w:rsidRPr="00DF03CE">
        <w:rPr>
          <w:color w:val="000000" w:themeColor="text1"/>
          <w:vertAlign w:val="superscript"/>
        </w:rPr>
        <w:t>,</w:t>
      </w:r>
      <w:r w:rsidRPr="00DF03CE">
        <w:rPr>
          <w:rStyle w:val="FootnoteReference"/>
          <w:color w:val="000000" w:themeColor="text1"/>
        </w:rPr>
        <w:footnoteReference w:id="2"/>
      </w:r>
      <w:r w:rsidRPr="00DF03CE">
        <w:rPr>
          <w:color w:val="000000" w:themeColor="text1"/>
        </w:rPr>
        <w:t xml:space="preserve"> Evidence from Africa, the Levant, Eurasian dispersals, and Pre-Pottery Neolithic Anatolia — including the Taş </w:t>
      </w:r>
      <w:proofErr w:type="spellStart"/>
      <w:r w:rsidRPr="00DF03CE">
        <w:rPr>
          <w:color w:val="000000" w:themeColor="text1"/>
        </w:rPr>
        <w:t>Tepeler</w:t>
      </w:r>
      <w:proofErr w:type="spellEnd"/>
      <w:r w:rsidRPr="00DF03CE">
        <w:rPr>
          <w:color w:val="000000" w:themeColor="text1"/>
        </w:rPr>
        <w:t xml:space="preserve"> landscape (</w:t>
      </w:r>
      <w:proofErr w:type="spellStart"/>
      <w:r w:rsidRPr="00DF03CE">
        <w:rPr>
          <w:color w:val="000000" w:themeColor="text1"/>
        </w:rPr>
        <w:t>Göbekli</w:t>
      </w:r>
      <w:proofErr w:type="spellEnd"/>
      <w:r w:rsidRPr="00DF03CE">
        <w:rPr>
          <w:color w:val="000000" w:themeColor="text1"/>
        </w:rPr>
        <w:t xml:space="preserve"> Tepe, Karahan Tepe, </w:t>
      </w:r>
      <w:proofErr w:type="spellStart"/>
      <w:r w:rsidRPr="00DF03CE">
        <w:rPr>
          <w:color w:val="000000" w:themeColor="text1"/>
        </w:rPr>
        <w:t>Sayburç</w:t>
      </w:r>
      <w:proofErr w:type="spellEnd"/>
      <w:r w:rsidRPr="00DF03CE">
        <w:rPr>
          <w:color w:val="000000" w:themeColor="text1"/>
        </w:rPr>
        <w:t xml:space="preserve">, </w:t>
      </w:r>
      <w:proofErr w:type="spellStart"/>
      <w:r w:rsidRPr="00DF03CE">
        <w:rPr>
          <w:color w:val="000000" w:themeColor="text1"/>
        </w:rPr>
        <w:t>Sefertepe</w:t>
      </w:r>
      <w:proofErr w:type="spellEnd"/>
      <w:r w:rsidRPr="00DF03CE">
        <w:rPr>
          <w:color w:val="000000" w:themeColor="text1"/>
        </w:rPr>
        <w:t>) — demonstrates that Homo sapiens possessed the cognitive and social capacity to generate, organize, and transmit structured symbolic systems as early as 300,000 years ago.</w:t>
      </w:r>
    </w:p>
    <w:p w14:paraId="59E1B24F" w14:textId="77777777" w:rsidR="00C96F90" w:rsidRPr="00DF03CE" w:rsidRDefault="00000000">
      <w:pPr>
        <w:spacing w:before="80" w:after="120"/>
        <w:jc w:val="both"/>
        <w:rPr>
          <w:color w:val="000000" w:themeColor="text1"/>
        </w:rPr>
      </w:pPr>
      <w:r w:rsidRPr="00DF03CE">
        <w:rPr>
          <w:color w:val="000000" w:themeColor="text1"/>
        </w:rPr>
        <w:t>The Deep Symbolic Systems Model (DSSM) proposes that early monumentality and cultural continuity arise from symbolic–ritual systems functioning as cognitive scaffolds.</w:t>
      </w:r>
      <w:r w:rsidRPr="00DF03CE">
        <w:rPr>
          <w:rStyle w:val="FootnoteReference"/>
          <w:color w:val="000000" w:themeColor="text1"/>
        </w:rPr>
        <w:footnoteReference w:id="3"/>
      </w:r>
      <w:r w:rsidRPr="00DF03CE">
        <w:rPr>
          <w:color w:val="000000" w:themeColor="text1"/>
        </w:rPr>
        <w:t xml:space="preserve"> These systems enabled collective labor coordination, stabilized meaning across generations, and externalized memory through ritual practice and spatial repetition before formal writing. DSSM defines symbolic stabilization through four formal criteria — intergenerational repetition, spatial constraint, cross-media redundancy, and persistence under stress — and maps the developmental trajectory of symbolic systems through four stages, from embodied familiarity to institutional emergence. A Field Companion Protocol (FCP) provides a reproducible scoring rubric for field and comparative application.</w:t>
      </w:r>
    </w:p>
    <w:p w14:paraId="42825DDF" w14:textId="77777777" w:rsidR="00C96F90" w:rsidRPr="00DF03CE" w:rsidRDefault="00000000">
      <w:pPr>
        <w:spacing w:before="80" w:after="120"/>
        <w:jc w:val="both"/>
        <w:rPr>
          <w:color w:val="000000" w:themeColor="text1"/>
        </w:rPr>
      </w:pPr>
      <w:r w:rsidRPr="00DF03CE">
        <w:rPr>
          <w:color w:val="000000" w:themeColor="text1"/>
        </w:rPr>
        <w:t>The model integrates archaeological patterning, cognitive anthropology, and comparative symbolic analysis.</w:t>
      </w:r>
      <w:r w:rsidRPr="00DF03CE">
        <w:rPr>
          <w:rStyle w:val="FootnoteReference"/>
          <w:color w:val="000000" w:themeColor="text1"/>
        </w:rPr>
        <w:footnoteReference w:id="4"/>
      </w:r>
      <w:r w:rsidRPr="00DF03CE">
        <w:rPr>
          <w:color w:val="000000" w:themeColor="text1"/>
          <w:vertAlign w:val="superscript"/>
        </w:rPr>
        <w:t>,</w:t>
      </w:r>
      <w:r w:rsidRPr="00DF03CE">
        <w:rPr>
          <w:rStyle w:val="FootnoteReference"/>
          <w:color w:val="000000" w:themeColor="text1"/>
        </w:rPr>
        <w:footnoteReference w:id="5"/>
      </w:r>
      <w:r w:rsidRPr="00DF03CE">
        <w:rPr>
          <w:color w:val="000000" w:themeColor="text1"/>
        </w:rPr>
        <w:t xml:space="preserve"> The emergence of writing is interpreted as the formal codification of pre-existing symbolic structures rather than their origin.</w:t>
      </w:r>
      <w:r w:rsidRPr="00DF03CE">
        <w:rPr>
          <w:rStyle w:val="FootnoteReference"/>
          <w:color w:val="000000" w:themeColor="text1"/>
        </w:rPr>
        <w:footnoteReference w:id="6"/>
      </w:r>
      <w:r w:rsidRPr="00DF03CE">
        <w:rPr>
          <w:color w:val="000000" w:themeColor="text1"/>
          <w:vertAlign w:val="superscript"/>
        </w:rPr>
        <w:t>,</w:t>
      </w:r>
      <w:r w:rsidRPr="00DF03CE">
        <w:rPr>
          <w:rStyle w:val="FootnoteReference"/>
          <w:color w:val="000000" w:themeColor="text1"/>
        </w:rPr>
        <w:footnoteReference w:id="7"/>
      </w:r>
      <w:r w:rsidRPr="00DF03CE">
        <w:rPr>
          <w:color w:val="000000" w:themeColor="text1"/>
        </w:rPr>
        <w:t xml:space="preserve"> Sites such as Egypt illustrate how uninterrupted ritual continuity amplifies monumentality through structured symbolic accumulation over timescales of twelve millennia or more.</w:t>
      </w:r>
    </w:p>
    <w:p w14:paraId="1E581C17" w14:textId="77777777" w:rsidR="00C96F90" w:rsidRPr="00DF03CE" w:rsidRDefault="00000000">
      <w:pPr>
        <w:spacing w:before="80" w:after="80"/>
        <w:rPr>
          <w:color w:val="000000" w:themeColor="text1"/>
        </w:rPr>
      </w:pPr>
      <w:r w:rsidRPr="00DF03CE">
        <w:rPr>
          <w:b/>
          <w:bCs/>
          <w:color w:val="000000" w:themeColor="text1"/>
        </w:rPr>
        <w:t xml:space="preserve">Keywords: </w:t>
      </w:r>
      <w:r w:rsidRPr="00DF03CE">
        <w:rPr>
          <w:color w:val="000000" w:themeColor="text1"/>
        </w:rPr>
        <w:t xml:space="preserve">symbolic stabilization, cognitive scaffolding, Pre-Pottery Neolithic, monumentality, ritual cognition, DSSM, Taş </w:t>
      </w:r>
      <w:proofErr w:type="spellStart"/>
      <w:r w:rsidRPr="00DF03CE">
        <w:rPr>
          <w:color w:val="000000" w:themeColor="text1"/>
        </w:rPr>
        <w:t>Tepeler</w:t>
      </w:r>
      <w:proofErr w:type="spellEnd"/>
      <w:r w:rsidRPr="00DF03CE">
        <w:rPr>
          <w:color w:val="000000" w:themeColor="text1"/>
        </w:rPr>
        <w:t xml:space="preserve">, </w:t>
      </w:r>
      <w:proofErr w:type="spellStart"/>
      <w:r w:rsidRPr="00DF03CE">
        <w:rPr>
          <w:color w:val="000000" w:themeColor="text1"/>
        </w:rPr>
        <w:t>Göbekli</w:t>
      </w:r>
      <w:proofErr w:type="spellEnd"/>
      <w:r w:rsidRPr="00DF03CE">
        <w:rPr>
          <w:color w:val="000000" w:themeColor="text1"/>
        </w:rPr>
        <w:t xml:space="preserve"> Tepe, cultural continuity, cognitive archaeology</w:t>
      </w:r>
    </w:p>
    <w:p w14:paraId="353A5D4C" w14:textId="77777777" w:rsidR="00C96F90" w:rsidRPr="00DF03CE" w:rsidRDefault="00000000">
      <w:pPr>
        <w:rPr>
          <w:color w:val="000000" w:themeColor="text1"/>
        </w:rPr>
      </w:pPr>
      <w:r w:rsidRPr="00DF03CE">
        <w:rPr>
          <w:color w:val="000000" w:themeColor="text1"/>
        </w:rPr>
        <w:br w:type="page"/>
      </w:r>
    </w:p>
    <w:p w14:paraId="1B19F644" w14:textId="77777777" w:rsidR="00C96F90" w:rsidRPr="00DF03CE" w:rsidRDefault="00000000">
      <w:pPr>
        <w:pStyle w:val="Heading1"/>
        <w:rPr>
          <w:color w:val="000000" w:themeColor="text1"/>
        </w:rPr>
      </w:pPr>
      <w:r w:rsidRPr="00DF03CE">
        <w:rPr>
          <w:color w:val="000000" w:themeColor="text1"/>
        </w:rPr>
        <w:lastRenderedPageBreak/>
        <w:t>1. Introduction</w:t>
      </w:r>
    </w:p>
    <w:p w14:paraId="4E095762" w14:textId="77777777" w:rsidR="00C96F90" w:rsidRPr="00DF03CE" w:rsidRDefault="00000000">
      <w:pPr>
        <w:spacing w:before="80" w:after="120"/>
        <w:jc w:val="both"/>
        <w:rPr>
          <w:color w:val="000000" w:themeColor="text1"/>
        </w:rPr>
      </w:pPr>
      <w:r w:rsidRPr="00DF03CE">
        <w:rPr>
          <w:color w:val="000000" w:themeColor="text1"/>
        </w:rPr>
        <w:t>Traditional archaeological narratives link civilization to agriculture, sedentism, surplus economies, and writing.</w:t>
      </w:r>
      <w:r w:rsidRPr="00DF03CE">
        <w:rPr>
          <w:rStyle w:val="FootnoteReference"/>
          <w:color w:val="000000" w:themeColor="text1"/>
        </w:rPr>
        <w:footnoteReference w:id="8"/>
      </w:r>
      <w:r w:rsidRPr="00DF03CE">
        <w:rPr>
          <w:color w:val="000000" w:themeColor="text1"/>
          <w:vertAlign w:val="superscript"/>
        </w:rPr>
        <w:t>,</w:t>
      </w:r>
      <w:r w:rsidRPr="00DF03CE">
        <w:rPr>
          <w:rStyle w:val="FootnoteReference"/>
          <w:color w:val="000000" w:themeColor="text1"/>
        </w:rPr>
        <w:footnoteReference w:id="9"/>
      </w:r>
      <w:r w:rsidRPr="00DF03CE">
        <w:rPr>
          <w:color w:val="000000" w:themeColor="text1"/>
        </w:rPr>
        <w:t xml:space="preserve"> Symbolic complexity and monumentality are typically treated as consequences of economic or administrative structures — outputs of civilizational maturity rather than its precondition. However, early Homo sapiens in Africa, the Levant, Eurasia, and Anatolia challenge this linear model at every major evidence horizon. Symbolic behaviors — including ochre use, curated artifacts, structured spatial occupation, and monumental ritual architecture — appear systematically before urban settlement or formal writing.</w:t>
      </w:r>
    </w:p>
    <w:p w14:paraId="576A2BC8" w14:textId="77777777" w:rsidR="00C96F90" w:rsidRPr="00DF03CE" w:rsidRDefault="00000000">
      <w:pPr>
        <w:spacing w:before="80" w:after="120"/>
        <w:jc w:val="both"/>
        <w:rPr>
          <w:color w:val="000000" w:themeColor="text1"/>
        </w:rPr>
      </w:pPr>
      <w:r w:rsidRPr="00DF03CE">
        <w:rPr>
          <w:color w:val="000000" w:themeColor="text1"/>
        </w:rPr>
        <w:t xml:space="preserve">The ongoing excavations of the Taş </w:t>
      </w:r>
      <w:proofErr w:type="spellStart"/>
      <w:r w:rsidRPr="00DF03CE">
        <w:rPr>
          <w:color w:val="000000" w:themeColor="text1"/>
        </w:rPr>
        <w:t>Tepeler</w:t>
      </w:r>
      <w:proofErr w:type="spellEnd"/>
      <w:r w:rsidRPr="00DF03CE">
        <w:rPr>
          <w:color w:val="000000" w:themeColor="text1"/>
        </w:rPr>
        <w:t xml:space="preserve"> landscape in southeastern Turkey have made this challenge unavoidable.</w:t>
      </w:r>
      <w:r w:rsidRPr="00DF03CE">
        <w:rPr>
          <w:rStyle w:val="FootnoteReference"/>
          <w:color w:val="000000" w:themeColor="text1"/>
        </w:rPr>
        <w:footnoteReference w:id="10"/>
      </w:r>
      <w:r w:rsidRPr="00DF03CE">
        <w:rPr>
          <w:color w:val="000000" w:themeColor="text1"/>
        </w:rPr>
        <w:t xml:space="preserve"> These sites demonstrate that non-agricultural, non-urban, non-literate communities were capable of sustained monumental construction, coordinated labor, and complex symbolic production at least twelve thousand years ago — organized around ritual rather than administration, and around symbolic motivation rather than economic surplus.</w:t>
      </w:r>
      <w:r w:rsidRPr="00DF03CE">
        <w:rPr>
          <w:rStyle w:val="FootnoteReference"/>
          <w:color w:val="000000" w:themeColor="text1"/>
        </w:rPr>
        <w:footnoteReference w:id="11"/>
      </w:r>
      <w:r w:rsidRPr="00DF03CE">
        <w:rPr>
          <w:color w:val="000000" w:themeColor="text1"/>
          <w:vertAlign w:val="superscript"/>
        </w:rPr>
        <w:t>,</w:t>
      </w:r>
      <w:r w:rsidRPr="00DF03CE">
        <w:rPr>
          <w:rStyle w:val="FootnoteReference"/>
          <w:color w:val="000000" w:themeColor="text1"/>
        </w:rPr>
        <w:footnoteReference w:id="12"/>
      </w:r>
      <w:r w:rsidRPr="00DF03CE">
        <w:rPr>
          <w:color w:val="000000" w:themeColor="text1"/>
        </w:rPr>
        <w:t xml:space="preserve"> The excavation record at Karahan Tepe in particular — with more than 250 T-shaped pillars, life-scale human sculptures in ritual contexts, and the first known three-dimensional face carved into a monumental pillar — provides the clearest material confirmation yet that symbolic stabilization precedes and enables sedentism, not the reverse.</w:t>
      </w:r>
    </w:p>
    <w:p w14:paraId="1F1E880D" w14:textId="77777777" w:rsidR="00C96F90" w:rsidRPr="00DF03CE" w:rsidRDefault="00000000">
      <w:pPr>
        <w:spacing w:before="80" w:after="120"/>
        <w:jc w:val="both"/>
        <w:rPr>
          <w:color w:val="000000" w:themeColor="text1"/>
        </w:rPr>
      </w:pPr>
      <w:r w:rsidRPr="00DF03CE">
        <w:rPr>
          <w:color w:val="000000" w:themeColor="text1"/>
        </w:rPr>
        <w:t xml:space="preserve">DSSM reframes these phenomena as material expressions of cognitive and ritual systems. Symbolic thought and social organization precede and enable later technological and administrative complexity. The model does not propose lost civilizations, anomalous technologies, or external interventions. It proposes that the conventional causal sequence — surplus → sedentism → symbolism — is empirically inverted, and that the correct sequence </w:t>
      </w:r>
      <w:proofErr w:type="gramStart"/>
      <w:r w:rsidRPr="00DF03CE">
        <w:rPr>
          <w:color w:val="000000" w:themeColor="text1"/>
        </w:rPr>
        <w:t>is:</w:t>
      </w:r>
      <w:proofErr w:type="gramEnd"/>
      <w:r w:rsidRPr="00DF03CE">
        <w:rPr>
          <w:color w:val="000000" w:themeColor="text1"/>
        </w:rPr>
        <w:t xml:space="preserve"> symbolic stabilization → collective coordination → sedentism → eventual surplus and administration.</w:t>
      </w:r>
    </w:p>
    <w:p w14:paraId="71561FE1" w14:textId="77777777" w:rsidR="00C96F90" w:rsidRPr="00DF03CE" w:rsidRDefault="00000000">
      <w:pPr>
        <w:pStyle w:val="Heading1"/>
        <w:rPr>
          <w:color w:val="000000" w:themeColor="text1"/>
        </w:rPr>
      </w:pPr>
      <w:r w:rsidRPr="00DF03CE">
        <w:rPr>
          <w:color w:val="000000" w:themeColor="text1"/>
        </w:rPr>
        <w:t>2. Theoretical Position and Scope</w:t>
      </w:r>
    </w:p>
    <w:p w14:paraId="1011EDAE" w14:textId="77777777" w:rsidR="00C96F90" w:rsidRPr="00DF03CE" w:rsidRDefault="00000000">
      <w:pPr>
        <w:spacing w:before="80" w:after="120"/>
        <w:jc w:val="both"/>
        <w:rPr>
          <w:color w:val="000000" w:themeColor="text1"/>
        </w:rPr>
      </w:pPr>
      <w:r w:rsidRPr="00DF03CE">
        <w:rPr>
          <w:color w:val="000000" w:themeColor="text1"/>
        </w:rPr>
        <w:t>DSSM is interpretive, not revisionist. It respects archaeological chronologies, radiocarbon dating, and site-specific findings. The model examines symbolic systems as constraint-based mechanisms</w:t>
      </w:r>
      <w:r w:rsidRPr="00DF03CE">
        <w:rPr>
          <w:rStyle w:val="FootnoteReference"/>
          <w:color w:val="000000" w:themeColor="text1"/>
        </w:rPr>
        <w:footnoteReference w:id="13"/>
      </w:r>
      <w:r w:rsidRPr="00DF03CE">
        <w:rPr>
          <w:color w:val="000000" w:themeColor="text1"/>
          <w:vertAlign w:val="superscript"/>
        </w:rPr>
        <w:t>,</w:t>
      </w:r>
      <w:r w:rsidRPr="00DF03CE">
        <w:rPr>
          <w:rStyle w:val="FootnoteReference"/>
          <w:color w:val="000000" w:themeColor="text1"/>
        </w:rPr>
        <w:footnoteReference w:id="14"/>
      </w:r>
      <w:r w:rsidRPr="00DF03CE">
        <w:rPr>
          <w:color w:val="000000" w:themeColor="text1"/>
        </w:rPr>
        <w:t xml:space="preserve"> that regulate collective coordination under demographic instability; intergenerational transmission of meaning in non-literate societies; spatial externalization of memory through repeated ritualized use; and threshold-triggered transitions from embodied to materially externalized symbolic systems.</w:t>
      </w:r>
    </w:p>
    <w:p w14:paraId="1AD7F81E" w14:textId="77777777" w:rsidR="00C96F90" w:rsidRPr="00DF03CE" w:rsidRDefault="00000000">
      <w:pPr>
        <w:spacing w:before="80" w:after="120"/>
        <w:jc w:val="both"/>
        <w:rPr>
          <w:color w:val="000000" w:themeColor="text1"/>
        </w:rPr>
      </w:pPr>
      <w:r w:rsidRPr="00DF03CE">
        <w:rPr>
          <w:color w:val="000000" w:themeColor="text1"/>
        </w:rPr>
        <w:t xml:space="preserve">The "deep" in DSSM refers to both temporal depth — the model's scope begins at c. 300,000 BCE — and to the persistence of symbolic constraints across ecological, demographic, and </w:t>
      </w:r>
      <w:r w:rsidRPr="00DF03CE">
        <w:rPr>
          <w:color w:val="000000" w:themeColor="text1"/>
        </w:rPr>
        <w:lastRenderedPageBreak/>
        <w:t>technological fluctuations.</w:t>
      </w:r>
      <w:r w:rsidRPr="00DF03CE">
        <w:rPr>
          <w:rStyle w:val="FootnoteReference"/>
          <w:color w:val="000000" w:themeColor="text1"/>
        </w:rPr>
        <w:footnoteReference w:id="15"/>
      </w:r>
      <w:r w:rsidRPr="00DF03CE">
        <w:rPr>
          <w:color w:val="000000" w:themeColor="text1"/>
          <w:vertAlign w:val="superscript"/>
        </w:rPr>
        <w:t>,</w:t>
      </w:r>
      <w:r w:rsidRPr="00DF03CE">
        <w:rPr>
          <w:rStyle w:val="FootnoteReference"/>
          <w:color w:val="000000" w:themeColor="text1"/>
        </w:rPr>
        <w:footnoteReference w:id="16"/>
      </w:r>
      <w:r w:rsidRPr="00DF03CE">
        <w:rPr>
          <w:color w:val="000000" w:themeColor="text1"/>
        </w:rPr>
        <w:t xml:space="preserve"> Symbolic systems do not simply reflect their environments; they constrain and regulate behavior within them, persisting through disruption events that eliminate all other cultural traces. This persistence property is the model's central explanatory claim.</w:t>
      </w:r>
    </w:p>
    <w:p w14:paraId="6A564A72" w14:textId="77777777" w:rsidR="00C96F90" w:rsidRPr="00DF03CE" w:rsidRDefault="00000000">
      <w:pPr>
        <w:pStyle w:val="Heading1"/>
        <w:rPr>
          <w:color w:val="000000" w:themeColor="text1"/>
        </w:rPr>
      </w:pPr>
      <w:r w:rsidRPr="00DF03CE">
        <w:rPr>
          <w:color w:val="000000" w:themeColor="text1"/>
        </w:rPr>
        <w:t>3. The Four Stabilization Criteria</w:t>
      </w:r>
    </w:p>
    <w:p w14:paraId="0B72F66C" w14:textId="77777777" w:rsidR="00C96F90" w:rsidRPr="00DF03CE" w:rsidRDefault="00000000">
      <w:pPr>
        <w:spacing w:before="80" w:after="120"/>
        <w:jc w:val="both"/>
        <w:rPr>
          <w:color w:val="000000" w:themeColor="text1"/>
        </w:rPr>
      </w:pPr>
      <w:r w:rsidRPr="00DF03CE">
        <w:rPr>
          <w:color w:val="000000" w:themeColor="text1"/>
        </w:rPr>
        <w:t>DSSM defines symbolic stabilization as the condition in which a symbolic system persists independently of individual agents and episodic transmission events.</w:t>
      </w:r>
      <w:r w:rsidRPr="00DF03CE">
        <w:rPr>
          <w:rStyle w:val="FootnoteReference"/>
          <w:color w:val="000000" w:themeColor="text1"/>
        </w:rPr>
        <w:footnoteReference w:id="17"/>
      </w:r>
      <w:r w:rsidRPr="00DF03CE">
        <w:rPr>
          <w:color w:val="000000" w:themeColor="text1"/>
          <w:vertAlign w:val="superscript"/>
        </w:rPr>
        <w:t>,</w:t>
      </w:r>
      <w:r w:rsidRPr="00DF03CE">
        <w:rPr>
          <w:rStyle w:val="FootnoteReference"/>
          <w:color w:val="000000" w:themeColor="text1"/>
        </w:rPr>
        <w:footnoteReference w:id="18"/>
      </w:r>
      <w:r w:rsidRPr="00DF03CE">
        <w:rPr>
          <w:color w:val="000000" w:themeColor="text1"/>
        </w:rPr>
        <w:t xml:space="preserve"> A symbolic system S is considered DSSM-stabilized if and only if it satisfies all four of the following criteria:</w:t>
      </w:r>
    </w:p>
    <w:p w14:paraId="54643C23" w14:textId="77777777" w:rsidR="00C96F90" w:rsidRPr="00DF03CE" w:rsidRDefault="00C96F90">
      <w:pPr>
        <w:spacing w:before="100" w:after="80"/>
        <w:rPr>
          <w:color w:val="000000" w:themeColor="text1"/>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F90" w:rsidRPr="00DF03CE" w14:paraId="0F079435" w14:textId="77777777" w:rsidTr="00DF03CE">
        <w:tblPrEx>
          <w:tblCellMar>
            <w:top w:w="0" w:type="dxa"/>
            <w:bottom w:w="0" w:type="dxa"/>
          </w:tblCellMar>
        </w:tblPrEx>
        <w:trPr>
          <w:jc w:val="center"/>
        </w:trPr>
        <w:tc>
          <w:tcPr>
            <w:tcW w:w="0" w:type="auto"/>
            <w:tcBorders>
              <w:top w:val="single" w:sz="6" w:space="0" w:color="2E5FA3"/>
              <w:left w:val="single" w:sz="6" w:space="0" w:color="2E5FA3"/>
              <w:bottom w:val="single" w:sz="6" w:space="0" w:color="2E5FA3"/>
              <w:right w:val="single" w:sz="6" w:space="0" w:color="2E5FA3"/>
            </w:tcBorders>
            <w:shd w:val="clear" w:color="auto" w:fill="EEF2F7"/>
            <w:tcMar>
              <w:top w:w="120" w:type="dxa"/>
              <w:left w:w="180" w:type="dxa"/>
              <w:bottom w:w="120" w:type="dxa"/>
              <w:right w:w="180" w:type="dxa"/>
            </w:tcMar>
          </w:tcPr>
          <w:p w14:paraId="2463FFAE" w14:textId="77777777" w:rsidR="00C96F90" w:rsidRPr="00DF03CE" w:rsidRDefault="00000000">
            <w:pPr>
              <w:spacing w:before="60" w:after="60"/>
              <w:rPr>
                <w:color w:val="000000" w:themeColor="text1"/>
              </w:rPr>
            </w:pPr>
            <w:r w:rsidRPr="00DF03CE">
              <w:rPr>
                <w:b/>
                <w:bCs/>
                <w:color w:val="000000" w:themeColor="text1"/>
              </w:rPr>
              <w:t xml:space="preserve">Criterion 1 — Intergenerational Repetition: </w:t>
            </w:r>
            <w:r w:rsidRPr="00DF03CE">
              <w:rPr>
                <w:color w:val="000000" w:themeColor="text1"/>
              </w:rPr>
              <w:t>S reproduces reliably across ≥3 generations, independent of any specific individual carrier.</w:t>
            </w:r>
          </w:p>
          <w:p w14:paraId="2B547E72" w14:textId="77777777" w:rsidR="00C96F90" w:rsidRPr="00DF03CE" w:rsidRDefault="00000000">
            <w:pPr>
              <w:spacing w:before="60" w:after="60"/>
              <w:rPr>
                <w:color w:val="000000" w:themeColor="text1"/>
              </w:rPr>
            </w:pPr>
            <w:r w:rsidRPr="00DF03CE">
              <w:rPr>
                <w:b/>
                <w:bCs/>
                <w:color w:val="000000" w:themeColor="text1"/>
              </w:rPr>
              <w:t xml:space="preserve">Criterion 2 — Spatial Constraint: </w:t>
            </w:r>
            <w:r w:rsidRPr="00DF03CE">
              <w:rPr>
                <w:color w:val="000000" w:themeColor="text1"/>
              </w:rPr>
              <w:t>S imposes structure on space, movement, or behavior in ways that are recurrent and non-arbitrary.</w:t>
            </w:r>
          </w:p>
          <w:p w14:paraId="638392C9" w14:textId="77777777" w:rsidR="00C96F90" w:rsidRPr="00DF03CE" w:rsidRDefault="00000000">
            <w:pPr>
              <w:spacing w:before="60" w:after="60"/>
              <w:rPr>
                <w:color w:val="000000" w:themeColor="text1"/>
              </w:rPr>
            </w:pPr>
            <w:r w:rsidRPr="00DF03CE">
              <w:rPr>
                <w:b/>
                <w:bCs/>
                <w:color w:val="000000" w:themeColor="text1"/>
              </w:rPr>
              <w:t xml:space="preserve">Criterion 3 — Cross-Media Redundancy: </w:t>
            </w:r>
            <w:r w:rsidRPr="00DF03CE">
              <w:rPr>
                <w:color w:val="000000" w:themeColor="text1"/>
              </w:rPr>
              <w:t>S is expressed in ≥2 distinct media (material, ritual, landscape, linguistic).</w:t>
            </w:r>
          </w:p>
          <w:p w14:paraId="49A30BC6" w14:textId="77777777" w:rsidR="00C96F90" w:rsidRPr="00DF03CE" w:rsidRDefault="00000000">
            <w:pPr>
              <w:spacing w:before="60" w:after="60"/>
              <w:rPr>
                <w:color w:val="000000" w:themeColor="text1"/>
              </w:rPr>
            </w:pPr>
            <w:r w:rsidRPr="00DF03CE">
              <w:rPr>
                <w:b/>
                <w:bCs/>
                <w:color w:val="000000" w:themeColor="text1"/>
              </w:rPr>
              <w:t xml:space="preserve">Criterion 4 — Persistence Under Stress: </w:t>
            </w:r>
            <w:r w:rsidRPr="00DF03CE">
              <w:rPr>
                <w:color w:val="000000" w:themeColor="text1"/>
              </w:rPr>
              <w:t>S maintains recognizable form across ecological disruption, demographic pressure, or political reorganization.</w:t>
            </w:r>
          </w:p>
        </w:tc>
      </w:tr>
    </w:tbl>
    <w:p w14:paraId="30CD7099" w14:textId="77777777" w:rsidR="00C96F90" w:rsidRPr="00DF03CE" w:rsidRDefault="00C96F90">
      <w:pPr>
        <w:spacing w:before="120"/>
        <w:rPr>
          <w:color w:val="000000" w:themeColor="text1"/>
        </w:rPr>
      </w:pPr>
    </w:p>
    <w:p w14:paraId="54657206" w14:textId="77777777" w:rsidR="00C96F90" w:rsidRPr="00DF03CE" w:rsidRDefault="00000000">
      <w:pPr>
        <w:spacing w:before="80" w:after="120"/>
        <w:jc w:val="both"/>
        <w:rPr>
          <w:color w:val="000000" w:themeColor="text1"/>
        </w:rPr>
      </w:pPr>
      <w:r w:rsidRPr="00DF03CE">
        <w:rPr>
          <w:color w:val="000000" w:themeColor="text1"/>
        </w:rPr>
        <w:t xml:space="preserve">Stabilization score ranges from 0–4 based on criteria satisfaction, with a threshold of 4/4 required for full DSSM saturation. Partial scores (3/4) indicate transitional states; scores below 3 indicate proto-symbolic or </w:t>
      </w:r>
      <w:proofErr w:type="spellStart"/>
      <w:r w:rsidRPr="00DF03CE">
        <w:rPr>
          <w:color w:val="000000" w:themeColor="text1"/>
        </w:rPr>
        <w:t>unstabilized</w:t>
      </w:r>
      <w:proofErr w:type="spellEnd"/>
      <w:r w:rsidRPr="00DF03CE">
        <w:rPr>
          <w:color w:val="000000" w:themeColor="text1"/>
        </w:rPr>
        <w:t xml:space="preserve"> systems. The criteria are jointly necessary: a system that satisfies three criteria but collapses under ecological stress does not qualify as DSSM-stabilized, regardless of its apparent complexity at peak expression.</w:t>
      </w:r>
      <w:r w:rsidRPr="00DF03CE">
        <w:rPr>
          <w:rStyle w:val="FootnoteReference"/>
          <w:color w:val="000000" w:themeColor="text1"/>
        </w:rPr>
        <w:footnoteReference w:id="19"/>
      </w:r>
    </w:p>
    <w:p w14:paraId="52D44538" w14:textId="77777777" w:rsidR="00C96F90" w:rsidRPr="00DF03CE" w:rsidRDefault="00000000">
      <w:pPr>
        <w:pStyle w:val="Heading1"/>
        <w:rPr>
          <w:color w:val="000000" w:themeColor="text1"/>
        </w:rPr>
      </w:pPr>
      <w:r w:rsidRPr="00DF03CE">
        <w:rPr>
          <w:color w:val="000000" w:themeColor="text1"/>
        </w:rPr>
        <w:t>4. Stage Architecture</w:t>
      </w:r>
    </w:p>
    <w:p w14:paraId="3470448B" w14:textId="77777777" w:rsidR="00C96F90" w:rsidRPr="00DF03CE" w:rsidRDefault="00000000">
      <w:pPr>
        <w:spacing w:before="80" w:after="120"/>
        <w:jc w:val="both"/>
        <w:rPr>
          <w:color w:val="000000" w:themeColor="text1"/>
        </w:rPr>
      </w:pPr>
      <w:r w:rsidRPr="00DF03CE">
        <w:rPr>
          <w:color w:val="000000" w:themeColor="text1"/>
        </w:rPr>
        <w:t xml:space="preserve">DSSM maps the developmental trajectory of symbolic systems through four stages. These are not evolutionary stages in a deterministic sequence — societies may remain at Stage 2 indefinitely, as the Australian case demonstrates — but analytical categories describing the </w:t>
      </w:r>
      <w:r w:rsidRPr="00DF03CE">
        <w:rPr>
          <w:color w:val="000000" w:themeColor="text1"/>
        </w:rPr>
        <w:lastRenderedPageBreak/>
        <w:t>relationship between symbolic load, community size, and the material substrates required for continued transmission.</w:t>
      </w:r>
      <w:r w:rsidRPr="00DF03CE">
        <w:rPr>
          <w:rStyle w:val="FootnoteReference"/>
          <w:color w:val="000000" w:themeColor="text1"/>
        </w:rPr>
        <w:footnoteReference w:id="20"/>
      </w:r>
      <w:r w:rsidRPr="00DF03CE">
        <w:rPr>
          <w:color w:val="000000" w:themeColor="text1"/>
          <w:vertAlign w:val="superscript"/>
        </w:rPr>
        <w:t>,</w:t>
      </w:r>
      <w:r w:rsidRPr="00DF03CE">
        <w:rPr>
          <w:rStyle w:val="FootnoteReference"/>
          <w:color w:val="000000" w:themeColor="text1"/>
        </w:rPr>
        <w:footnoteReference w:id="21"/>
      </w:r>
    </w:p>
    <w:p w14:paraId="5202621C" w14:textId="77777777" w:rsidR="00C96F90" w:rsidRPr="00DF03CE" w:rsidRDefault="00C96F90">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100"/>
        <w:gridCol w:w="1300"/>
        <w:gridCol w:w="1800"/>
        <w:gridCol w:w="3460"/>
      </w:tblGrid>
      <w:tr w:rsidR="00C96F90" w:rsidRPr="00DF03CE" w14:paraId="4B644241" w14:textId="77777777">
        <w:tblPrEx>
          <w:tblCellMar>
            <w:top w:w="0" w:type="dxa"/>
            <w:bottom w:w="0" w:type="dxa"/>
          </w:tblCellMar>
        </w:tblPrEx>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90" w:type="dxa"/>
              <w:bottom w:w="70" w:type="dxa"/>
              <w:right w:w="90" w:type="dxa"/>
            </w:tcMar>
          </w:tcPr>
          <w:p w14:paraId="407AAF4D" w14:textId="77777777" w:rsidR="00C96F90" w:rsidRPr="00DF03CE" w:rsidRDefault="00000000" w:rsidP="00DF03CE">
            <w:pPr>
              <w:jc w:val="center"/>
              <w:rPr>
                <w:color w:val="000000" w:themeColor="text1"/>
              </w:rPr>
            </w:pPr>
            <w:r w:rsidRPr="00DF03CE">
              <w:rPr>
                <w:b/>
                <w:bCs/>
                <w:color w:val="000000" w:themeColor="text1"/>
                <w:sz w:val="18"/>
                <w:szCs w:val="18"/>
              </w:rPr>
              <w:t>Stage</w:t>
            </w:r>
          </w:p>
        </w:tc>
        <w:tc>
          <w:tcPr>
            <w:tcW w:w="21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90" w:type="dxa"/>
              <w:bottom w:w="70" w:type="dxa"/>
              <w:right w:w="90" w:type="dxa"/>
            </w:tcMar>
          </w:tcPr>
          <w:p w14:paraId="3DA402BA" w14:textId="77777777" w:rsidR="00C96F90" w:rsidRPr="00DF03CE" w:rsidRDefault="00000000" w:rsidP="00DF03CE">
            <w:pPr>
              <w:jc w:val="center"/>
              <w:rPr>
                <w:color w:val="000000" w:themeColor="text1"/>
              </w:rPr>
            </w:pPr>
            <w:r w:rsidRPr="00DF03CE">
              <w:rPr>
                <w:b/>
                <w:bCs/>
                <w:color w:val="000000" w:themeColor="text1"/>
                <w:sz w:val="18"/>
                <w:szCs w:val="18"/>
              </w:rPr>
              <w:t>Label</w:t>
            </w:r>
          </w:p>
        </w:tc>
        <w:tc>
          <w:tcPr>
            <w:tcW w:w="13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90" w:type="dxa"/>
              <w:bottom w:w="70" w:type="dxa"/>
              <w:right w:w="90" w:type="dxa"/>
            </w:tcMar>
          </w:tcPr>
          <w:p w14:paraId="580966AC" w14:textId="77777777" w:rsidR="00C96F90" w:rsidRPr="00DF03CE" w:rsidRDefault="00000000" w:rsidP="00DF03CE">
            <w:pPr>
              <w:jc w:val="center"/>
              <w:rPr>
                <w:color w:val="000000" w:themeColor="text1"/>
              </w:rPr>
            </w:pPr>
            <w:r w:rsidRPr="00DF03CE">
              <w:rPr>
                <w:b/>
                <w:bCs/>
                <w:color w:val="000000" w:themeColor="text1"/>
                <w:sz w:val="18"/>
                <w:szCs w:val="18"/>
              </w:rPr>
              <w:t>Duration</w:t>
            </w:r>
          </w:p>
        </w:tc>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90" w:type="dxa"/>
              <w:bottom w:w="70" w:type="dxa"/>
              <w:right w:w="90" w:type="dxa"/>
            </w:tcMar>
          </w:tcPr>
          <w:p w14:paraId="7BB4AACC" w14:textId="77777777" w:rsidR="00C96F90" w:rsidRPr="00DF03CE" w:rsidRDefault="00000000" w:rsidP="00DF03CE">
            <w:pPr>
              <w:jc w:val="center"/>
              <w:rPr>
                <w:color w:val="000000" w:themeColor="text1"/>
              </w:rPr>
            </w:pPr>
            <w:r w:rsidRPr="00DF03CE">
              <w:rPr>
                <w:b/>
                <w:bCs/>
                <w:color w:val="000000" w:themeColor="text1"/>
                <w:sz w:val="18"/>
                <w:szCs w:val="18"/>
              </w:rPr>
              <w:t>Neural Correlate</w:t>
            </w:r>
          </w:p>
        </w:tc>
        <w:tc>
          <w:tcPr>
            <w:tcW w:w="3460" w:type="dxa"/>
            <w:tcBorders>
              <w:top w:val="single" w:sz="1" w:space="0" w:color="CCCCCC"/>
              <w:left w:val="single" w:sz="1" w:space="0" w:color="CCCCCC"/>
              <w:bottom w:val="single" w:sz="1" w:space="0" w:color="CCCCCC"/>
              <w:right w:val="single" w:sz="1" w:space="0" w:color="CCCCCC"/>
            </w:tcBorders>
            <w:shd w:val="clear" w:color="auto" w:fill="1F3864"/>
            <w:tcMar>
              <w:top w:w="70" w:type="dxa"/>
              <w:left w:w="90" w:type="dxa"/>
              <w:bottom w:w="70" w:type="dxa"/>
              <w:right w:w="90" w:type="dxa"/>
            </w:tcMar>
          </w:tcPr>
          <w:p w14:paraId="5D095DE7" w14:textId="77777777" w:rsidR="00C96F90" w:rsidRPr="00DF03CE" w:rsidRDefault="00000000" w:rsidP="00DF03CE">
            <w:pPr>
              <w:jc w:val="center"/>
              <w:rPr>
                <w:color w:val="000000" w:themeColor="text1"/>
              </w:rPr>
            </w:pPr>
            <w:r w:rsidRPr="00DF03CE">
              <w:rPr>
                <w:b/>
                <w:bCs/>
                <w:color w:val="000000" w:themeColor="text1"/>
                <w:sz w:val="18"/>
                <w:szCs w:val="18"/>
              </w:rPr>
              <w:t>Defining Threshold</w:t>
            </w:r>
          </w:p>
        </w:tc>
      </w:tr>
      <w:tr w:rsidR="00C96F90" w:rsidRPr="00DF03CE" w14:paraId="57A3FE47"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604EA18F" w14:textId="77777777" w:rsidR="00C96F90" w:rsidRPr="00DF03CE" w:rsidRDefault="00000000" w:rsidP="00DF03CE">
            <w:pPr>
              <w:jc w:val="center"/>
              <w:rPr>
                <w:color w:val="000000" w:themeColor="text1"/>
              </w:rPr>
            </w:pPr>
            <w:r w:rsidRPr="00DF03CE">
              <w:rPr>
                <w:b/>
                <w:bCs/>
                <w:color w:val="000000" w:themeColor="text1"/>
                <w:sz w:val="18"/>
                <w:szCs w:val="18"/>
              </w:rPr>
              <w:t>Stage 1</w:t>
            </w:r>
          </w:p>
        </w:tc>
        <w:tc>
          <w:tcPr>
            <w:tcW w:w="21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4398E502" w14:textId="77777777" w:rsidR="00C96F90" w:rsidRPr="00DF03CE" w:rsidRDefault="00000000" w:rsidP="00DF03CE">
            <w:pPr>
              <w:jc w:val="center"/>
              <w:rPr>
                <w:color w:val="000000" w:themeColor="text1"/>
              </w:rPr>
            </w:pPr>
            <w:r w:rsidRPr="00DF03CE">
              <w:rPr>
                <w:b/>
                <w:bCs/>
                <w:color w:val="000000" w:themeColor="text1"/>
                <w:sz w:val="18"/>
                <w:szCs w:val="18"/>
              </w:rPr>
              <w:t>Embodied Symbolic Familiarity</w:t>
            </w:r>
          </w:p>
        </w:tc>
        <w:tc>
          <w:tcPr>
            <w:tcW w:w="13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5B965371" w14:textId="77777777" w:rsidR="00C96F90" w:rsidRPr="00DF03CE" w:rsidRDefault="00000000" w:rsidP="00DF03CE">
            <w:pPr>
              <w:jc w:val="center"/>
              <w:rPr>
                <w:color w:val="000000" w:themeColor="text1"/>
              </w:rPr>
            </w:pPr>
            <w:r w:rsidRPr="00DF03CE">
              <w:rPr>
                <w:color w:val="000000" w:themeColor="text1"/>
                <w:sz w:val="18"/>
                <w:szCs w:val="18"/>
              </w:rPr>
              <w:t>100–500 yr</w:t>
            </w:r>
          </w:p>
        </w:tc>
        <w:tc>
          <w:tcPr>
            <w:tcW w:w="18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310C0E76" w14:textId="77777777" w:rsidR="00C96F90" w:rsidRPr="00DF03CE" w:rsidRDefault="00000000" w:rsidP="00DF03CE">
            <w:pPr>
              <w:jc w:val="center"/>
              <w:rPr>
                <w:color w:val="000000" w:themeColor="text1"/>
              </w:rPr>
            </w:pPr>
            <w:r w:rsidRPr="00DF03CE">
              <w:rPr>
                <w:color w:val="000000" w:themeColor="text1"/>
                <w:sz w:val="18"/>
                <w:szCs w:val="18"/>
              </w:rPr>
              <w:t>Basal ganglia / cerebellum</w:t>
            </w:r>
          </w:p>
        </w:tc>
        <w:tc>
          <w:tcPr>
            <w:tcW w:w="346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36939ABC" w14:textId="77777777" w:rsidR="00C96F90" w:rsidRPr="00DF03CE" w:rsidRDefault="00000000" w:rsidP="00DF03CE">
            <w:pPr>
              <w:jc w:val="center"/>
              <w:rPr>
                <w:color w:val="000000" w:themeColor="text1"/>
              </w:rPr>
            </w:pPr>
            <w:r w:rsidRPr="00DF03CE">
              <w:rPr>
                <w:color w:val="000000" w:themeColor="text1"/>
                <w:sz w:val="18"/>
                <w:szCs w:val="18"/>
              </w:rPr>
              <w:t>Recurrent motor-ritual patterns; no durable external encoding required</w:t>
            </w:r>
          </w:p>
        </w:tc>
      </w:tr>
      <w:tr w:rsidR="00C96F90" w:rsidRPr="00DF03CE" w14:paraId="2F474055"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495EDDC8" w14:textId="77777777" w:rsidR="00C96F90" w:rsidRPr="00DF03CE" w:rsidRDefault="00000000" w:rsidP="00DF03CE">
            <w:pPr>
              <w:jc w:val="center"/>
              <w:rPr>
                <w:color w:val="000000" w:themeColor="text1"/>
              </w:rPr>
            </w:pPr>
            <w:r w:rsidRPr="00DF03CE">
              <w:rPr>
                <w:b/>
                <w:bCs/>
                <w:color w:val="000000" w:themeColor="text1"/>
                <w:sz w:val="18"/>
                <w:szCs w:val="18"/>
              </w:rPr>
              <w:t>Stage 2</w:t>
            </w:r>
          </w:p>
        </w:tc>
        <w:tc>
          <w:tcPr>
            <w:tcW w:w="21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576F2263" w14:textId="77777777" w:rsidR="00C96F90" w:rsidRPr="00DF03CE" w:rsidRDefault="00000000" w:rsidP="00DF03CE">
            <w:pPr>
              <w:jc w:val="center"/>
              <w:rPr>
                <w:color w:val="000000" w:themeColor="text1"/>
              </w:rPr>
            </w:pPr>
            <w:r w:rsidRPr="00DF03CE">
              <w:rPr>
                <w:b/>
                <w:bCs/>
                <w:color w:val="000000" w:themeColor="text1"/>
                <w:sz w:val="18"/>
                <w:szCs w:val="18"/>
              </w:rPr>
              <w:t>Ritualized Repetition</w:t>
            </w:r>
          </w:p>
        </w:tc>
        <w:tc>
          <w:tcPr>
            <w:tcW w:w="13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5D871CE9" w14:textId="77777777" w:rsidR="00C96F90" w:rsidRPr="00DF03CE" w:rsidRDefault="00000000" w:rsidP="00DF03CE">
            <w:pPr>
              <w:jc w:val="center"/>
              <w:rPr>
                <w:color w:val="000000" w:themeColor="text1"/>
              </w:rPr>
            </w:pPr>
            <w:r w:rsidRPr="00DF03CE">
              <w:rPr>
                <w:color w:val="000000" w:themeColor="text1"/>
                <w:sz w:val="18"/>
                <w:szCs w:val="18"/>
              </w:rPr>
              <w:t>200–800 yr</w:t>
            </w:r>
          </w:p>
        </w:tc>
        <w:tc>
          <w:tcPr>
            <w:tcW w:w="18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236CF488" w14:textId="77777777" w:rsidR="00C96F90" w:rsidRPr="00DF03CE" w:rsidRDefault="00000000" w:rsidP="00DF03CE">
            <w:pPr>
              <w:jc w:val="center"/>
              <w:rPr>
                <w:color w:val="000000" w:themeColor="text1"/>
              </w:rPr>
            </w:pPr>
            <w:r w:rsidRPr="00DF03CE">
              <w:rPr>
                <w:color w:val="000000" w:themeColor="text1"/>
                <w:sz w:val="18"/>
                <w:szCs w:val="18"/>
              </w:rPr>
              <w:t>Long-term potentiation (LTP)</w:t>
            </w:r>
          </w:p>
        </w:tc>
        <w:tc>
          <w:tcPr>
            <w:tcW w:w="346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25EDCFBD" w14:textId="77777777" w:rsidR="00C96F90" w:rsidRPr="00DF03CE" w:rsidRDefault="00000000" w:rsidP="00DF03CE">
            <w:pPr>
              <w:jc w:val="center"/>
              <w:rPr>
                <w:color w:val="000000" w:themeColor="text1"/>
              </w:rPr>
            </w:pPr>
            <w:r w:rsidRPr="00DF03CE">
              <w:rPr>
                <w:color w:val="000000" w:themeColor="text1"/>
                <w:sz w:val="18"/>
                <w:szCs w:val="18"/>
              </w:rPr>
              <w:t>Stabilized ritual sequences; oral transmission; spatial memory anchors</w:t>
            </w:r>
          </w:p>
        </w:tc>
      </w:tr>
      <w:tr w:rsidR="00C96F90" w:rsidRPr="00DF03CE" w14:paraId="632B1B7D"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5B7BB8F8" w14:textId="77777777" w:rsidR="00C96F90" w:rsidRPr="00DF03CE" w:rsidRDefault="00000000" w:rsidP="00DF03CE">
            <w:pPr>
              <w:jc w:val="center"/>
              <w:rPr>
                <w:color w:val="000000" w:themeColor="text1"/>
              </w:rPr>
            </w:pPr>
            <w:r w:rsidRPr="00DF03CE">
              <w:rPr>
                <w:b/>
                <w:bCs/>
                <w:color w:val="000000" w:themeColor="text1"/>
                <w:sz w:val="18"/>
                <w:szCs w:val="18"/>
              </w:rPr>
              <w:t>Stage 3</w:t>
            </w:r>
          </w:p>
        </w:tc>
        <w:tc>
          <w:tcPr>
            <w:tcW w:w="21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3473F5DC" w14:textId="77777777" w:rsidR="00C96F90" w:rsidRPr="00DF03CE" w:rsidRDefault="00000000" w:rsidP="00DF03CE">
            <w:pPr>
              <w:jc w:val="center"/>
              <w:rPr>
                <w:color w:val="000000" w:themeColor="text1"/>
              </w:rPr>
            </w:pPr>
            <w:r w:rsidRPr="00DF03CE">
              <w:rPr>
                <w:b/>
                <w:bCs/>
                <w:color w:val="000000" w:themeColor="text1"/>
                <w:sz w:val="18"/>
                <w:szCs w:val="18"/>
              </w:rPr>
              <w:t>Material Amplification &amp; Externalization</w:t>
            </w:r>
          </w:p>
        </w:tc>
        <w:tc>
          <w:tcPr>
            <w:tcW w:w="13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5FABC4BF" w14:textId="77777777" w:rsidR="00C96F90" w:rsidRPr="00DF03CE" w:rsidRDefault="00000000" w:rsidP="00DF03CE">
            <w:pPr>
              <w:jc w:val="center"/>
              <w:rPr>
                <w:color w:val="000000" w:themeColor="text1"/>
              </w:rPr>
            </w:pPr>
            <w:r w:rsidRPr="00DF03CE">
              <w:rPr>
                <w:color w:val="000000" w:themeColor="text1"/>
                <w:sz w:val="18"/>
                <w:szCs w:val="18"/>
              </w:rPr>
              <w:t>300–1,000 yr</w:t>
            </w:r>
          </w:p>
        </w:tc>
        <w:tc>
          <w:tcPr>
            <w:tcW w:w="18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5BA7CCB2" w14:textId="77777777" w:rsidR="00C96F90" w:rsidRPr="00DF03CE" w:rsidRDefault="00000000" w:rsidP="00DF03CE">
            <w:pPr>
              <w:jc w:val="center"/>
              <w:rPr>
                <w:color w:val="000000" w:themeColor="text1"/>
              </w:rPr>
            </w:pPr>
            <w:r w:rsidRPr="00DF03CE">
              <w:rPr>
                <w:color w:val="000000" w:themeColor="text1"/>
                <w:sz w:val="18"/>
                <w:szCs w:val="18"/>
              </w:rPr>
              <w:t>Prefrontal / hippocampal integration</w:t>
            </w:r>
          </w:p>
        </w:tc>
        <w:tc>
          <w:tcPr>
            <w:tcW w:w="346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4F64A56D" w14:textId="77777777" w:rsidR="00C96F90" w:rsidRPr="00DF03CE" w:rsidRDefault="00000000" w:rsidP="00DF03CE">
            <w:pPr>
              <w:jc w:val="center"/>
              <w:rPr>
                <w:color w:val="000000" w:themeColor="text1"/>
              </w:rPr>
            </w:pPr>
            <w:r w:rsidRPr="00DF03CE">
              <w:rPr>
                <w:color w:val="000000" w:themeColor="text1"/>
                <w:sz w:val="18"/>
                <w:szCs w:val="18"/>
              </w:rPr>
              <w:t>~500-person threshold; symbolic load exceeds biological transmission capacity; material substrates required</w:t>
            </w:r>
          </w:p>
        </w:tc>
      </w:tr>
      <w:tr w:rsidR="00C96F90" w:rsidRPr="00DF03CE" w14:paraId="443AA8FD"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07CA82E6" w14:textId="77777777" w:rsidR="00C96F90" w:rsidRPr="00DF03CE" w:rsidRDefault="00000000" w:rsidP="00DF03CE">
            <w:pPr>
              <w:jc w:val="center"/>
              <w:rPr>
                <w:color w:val="000000" w:themeColor="text1"/>
              </w:rPr>
            </w:pPr>
            <w:r w:rsidRPr="00DF03CE">
              <w:rPr>
                <w:b/>
                <w:bCs/>
                <w:color w:val="000000" w:themeColor="text1"/>
                <w:sz w:val="18"/>
                <w:szCs w:val="18"/>
              </w:rPr>
              <w:t>Stage 4</w:t>
            </w:r>
          </w:p>
        </w:tc>
        <w:tc>
          <w:tcPr>
            <w:tcW w:w="2100" w:type="dxa"/>
            <w:tcBorders>
              <w:top w:val="single" w:sz="1" w:space="0" w:color="CCCCCC"/>
              <w:left w:val="single" w:sz="1" w:space="0" w:color="CCCCCC"/>
              <w:bottom w:val="single" w:sz="1" w:space="0" w:color="CCCCCC"/>
              <w:right w:val="single" w:sz="1" w:space="0" w:color="CCCCCC"/>
            </w:tcBorders>
            <w:shd w:val="clear" w:color="auto" w:fill="EEF2F7"/>
            <w:tcMar>
              <w:top w:w="55" w:type="dxa"/>
              <w:left w:w="90" w:type="dxa"/>
              <w:bottom w:w="55" w:type="dxa"/>
              <w:right w:w="90" w:type="dxa"/>
            </w:tcMar>
          </w:tcPr>
          <w:p w14:paraId="7F0C6806" w14:textId="77777777" w:rsidR="00C96F90" w:rsidRPr="00DF03CE" w:rsidRDefault="00000000" w:rsidP="00DF03CE">
            <w:pPr>
              <w:jc w:val="center"/>
              <w:rPr>
                <w:color w:val="000000" w:themeColor="text1"/>
              </w:rPr>
            </w:pPr>
            <w:r w:rsidRPr="00DF03CE">
              <w:rPr>
                <w:b/>
                <w:bCs/>
                <w:color w:val="000000" w:themeColor="text1"/>
                <w:sz w:val="18"/>
                <w:szCs w:val="18"/>
              </w:rPr>
              <w:t>Cognitive Offloading &amp; Institutional Emergence</w:t>
            </w:r>
          </w:p>
        </w:tc>
        <w:tc>
          <w:tcPr>
            <w:tcW w:w="13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19FFB068" w14:textId="77777777" w:rsidR="00C96F90" w:rsidRPr="00DF03CE" w:rsidRDefault="00000000" w:rsidP="00DF03CE">
            <w:pPr>
              <w:jc w:val="center"/>
              <w:rPr>
                <w:color w:val="000000" w:themeColor="text1"/>
              </w:rPr>
            </w:pPr>
            <w:r w:rsidRPr="00DF03CE">
              <w:rPr>
                <w:color w:val="000000" w:themeColor="text1"/>
                <w:sz w:val="18"/>
                <w:szCs w:val="18"/>
              </w:rPr>
              <w:t>Variable</w:t>
            </w:r>
          </w:p>
        </w:tc>
        <w:tc>
          <w:tcPr>
            <w:tcW w:w="180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011F53C9" w14:textId="77777777" w:rsidR="00C96F90" w:rsidRPr="00DF03CE" w:rsidRDefault="00000000" w:rsidP="00DF03CE">
            <w:pPr>
              <w:jc w:val="center"/>
              <w:rPr>
                <w:color w:val="000000" w:themeColor="text1"/>
              </w:rPr>
            </w:pPr>
            <w:r w:rsidRPr="00DF03CE">
              <w:rPr>
                <w:color w:val="000000" w:themeColor="text1"/>
                <w:sz w:val="18"/>
                <w:szCs w:val="18"/>
              </w:rPr>
              <w:t>Distributed neural–material system</w:t>
            </w:r>
          </w:p>
        </w:tc>
        <w:tc>
          <w:tcPr>
            <w:tcW w:w="3460" w:type="dxa"/>
            <w:tcBorders>
              <w:top w:val="single" w:sz="1" w:space="0" w:color="CCCCCC"/>
              <w:left w:val="single" w:sz="1" w:space="0" w:color="CCCCCC"/>
              <w:bottom w:val="single" w:sz="1" w:space="0" w:color="CCCCCC"/>
              <w:right w:val="single" w:sz="1" w:space="0" w:color="CCCCCC"/>
            </w:tcBorders>
            <w:tcMar>
              <w:top w:w="55" w:type="dxa"/>
              <w:left w:w="90" w:type="dxa"/>
              <w:bottom w:w="55" w:type="dxa"/>
              <w:right w:w="90" w:type="dxa"/>
            </w:tcMar>
          </w:tcPr>
          <w:p w14:paraId="29DDFCDE" w14:textId="77777777" w:rsidR="00C96F90" w:rsidRPr="00DF03CE" w:rsidRDefault="00000000" w:rsidP="00DF03CE">
            <w:pPr>
              <w:jc w:val="center"/>
              <w:rPr>
                <w:color w:val="000000" w:themeColor="text1"/>
              </w:rPr>
            </w:pPr>
            <w:r w:rsidRPr="00DF03CE">
              <w:rPr>
                <w:color w:val="000000" w:themeColor="text1"/>
                <w:sz w:val="18"/>
                <w:szCs w:val="18"/>
              </w:rPr>
              <w:t>Writing, administration, and law as compression of pre-existing symbolic load; monumentality as late-stage signature</w:t>
            </w:r>
          </w:p>
        </w:tc>
      </w:tr>
    </w:tbl>
    <w:p w14:paraId="1971DD2C" w14:textId="77777777" w:rsidR="00C96F90" w:rsidRPr="00DF03CE" w:rsidRDefault="00C96F90">
      <w:pPr>
        <w:spacing w:before="120" w:after="80"/>
        <w:rPr>
          <w:color w:val="000000" w:themeColor="text1"/>
        </w:rPr>
      </w:pPr>
    </w:p>
    <w:p w14:paraId="403EA864" w14:textId="77777777" w:rsidR="00C96F90" w:rsidRPr="00DF03CE" w:rsidRDefault="00000000">
      <w:pPr>
        <w:spacing w:before="80" w:after="120"/>
        <w:jc w:val="both"/>
        <w:rPr>
          <w:color w:val="000000" w:themeColor="text1"/>
        </w:rPr>
      </w:pPr>
      <w:r w:rsidRPr="00DF03CE">
        <w:rPr>
          <w:color w:val="000000" w:themeColor="text1"/>
        </w:rPr>
        <w:t>The Stage 2→3 transition is the model's critical threshold. When community size approaches approximately 500 persons, the symbolic load required for social coordination — ritual schedules, cosmological knowledge, genealogical memory, behavioral norms — exceeds the reliable transmission capacity of biological memory and oral tradition alone.</w:t>
      </w:r>
      <w:r w:rsidRPr="00DF03CE">
        <w:rPr>
          <w:rStyle w:val="FootnoteReference"/>
          <w:color w:val="000000" w:themeColor="text1"/>
        </w:rPr>
        <w:footnoteReference w:id="22"/>
      </w:r>
      <w:r w:rsidRPr="00DF03CE">
        <w:rPr>
          <w:color w:val="000000" w:themeColor="text1"/>
          <w:vertAlign w:val="superscript"/>
        </w:rPr>
        <w:t>,</w:t>
      </w:r>
      <w:r w:rsidRPr="00DF03CE">
        <w:rPr>
          <w:rStyle w:val="FootnoteReference"/>
          <w:color w:val="000000" w:themeColor="text1"/>
        </w:rPr>
        <w:footnoteReference w:id="23"/>
      </w:r>
      <w:r w:rsidRPr="00DF03CE">
        <w:rPr>
          <w:color w:val="000000" w:themeColor="text1"/>
        </w:rPr>
        <w:t xml:space="preserve"> Material externalization becomes structurally necessary rather than culturally optional. The monuments of Taş </w:t>
      </w:r>
      <w:proofErr w:type="spellStart"/>
      <w:r w:rsidRPr="00DF03CE">
        <w:rPr>
          <w:color w:val="000000" w:themeColor="text1"/>
        </w:rPr>
        <w:t>Tepeler</w:t>
      </w:r>
      <w:proofErr w:type="spellEnd"/>
      <w:r w:rsidRPr="00DF03CE">
        <w:rPr>
          <w:color w:val="000000" w:themeColor="text1"/>
        </w:rPr>
        <w:t xml:space="preserve"> are the archaeologically clearest expression of this transition: structures built before agriculture, by communities whose subsistence remained hunter-gatherer, precisely because symbolic coordination demands outpaced biological transmission capacity.</w:t>
      </w:r>
    </w:p>
    <w:p w14:paraId="3ECEE224" w14:textId="77777777" w:rsidR="00C96F90" w:rsidRPr="00DF03CE" w:rsidRDefault="00000000">
      <w:pPr>
        <w:spacing w:before="80" w:after="120"/>
        <w:jc w:val="both"/>
        <w:rPr>
          <w:color w:val="000000" w:themeColor="text1"/>
        </w:rPr>
      </w:pPr>
      <w:r w:rsidRPr="00DF03CE">
        <w:rPr>
          <w:color w:val="000000" w:themeColor="text1"/>
        </w:rPr>
        <w:t>Stage 4 is not inevitable. It emerges only where symbolic load exceeds the resolution capacity of non-linguistic systems. Writing is contingent, not a universal milestone</w:t>
      </w:r>
      <w:r w:rsidRPr="00DF03CE">
        <w:rPr>
          <w:rStyle w:val="FootnoteReference"/>
          <w:color w:val="000000" w:themeColor="text1"/>
        </w:rPr>
        <w:footnoteReference w:id="24"/>
      </w:r>
      <w:r w:rsidRPr="00DF03CE">
        <w:rPr>
          <w:color w:val="000000" w:themeColor="text1"/>
          <w:vertAlign w:val="superscript"/>
        </w:rPr>
        <w:t>,</w:t>
      </w:r>
      <w:r w:rsidRPr="00DF03CE">
        <w:rPr>
          <w:rStyle w:val="FootnoteReference"/>
          <w:color w:val="000000" w:themeColor="text1"/>
        </w:rPr>
        <w:footnoteReference w:id="25"/>
      </w:r>
      <w:r w:rsidRPr="00DF03CE">
        <w:rPr>
          <w:color w:val="000000" w:themeColor="text1"/>
        </w:rPr>
        <w:t xml:space="preserve"> — it appears when symbolic complexity requires compression into a linear, portable, and scalable medium. Apparent suddenness in the archaeological record reflects preservation bias rather than cognitive novelty.</w:t>
      </w:r>
    </w:p>
    <w:p w14:paraId="00B6904F" w14:textId="77777777" w:rsidR="00DF03CE" w:rsidRDefault="00DF03CE">
      <w:pPr>
        <w:pStyle w:val="Heading1"/>
        <w:rPr>
          <w:color w:val="000000" w:themeColor="text1"/>
        </w:rPr>
      </w:pPr>
    </w:p>
    <w:p w14:paraId="60E6ED96" w14:textId="77777777" w:rsidR="00DF03CE" w:rsidRDefault="00DF03CE">
      <w:pPr>
        <w:pStyle w:val="Heading1"/>
        <w:rPr>
          <w:color w:val="000000" w:themeColor="text1"/>
        </w:rPr>
      </w:pPr>
    </w:p>
    <w:p w14:paraId="1C81D29A" w14:textId="77777777" w:rsidR="00DF03CE" w:rsidRDefault="00DF03CE">
      <w:pPr>
        <w:pStyle w:val="Heading1"/>
        <w:rPr>
          <w:color w:val="000000" w:themeColor="text1"/>
        </w:rPr>
      </w:pPr>
    </w:p>
    <w:p w14:paraId="21C64271" w14:textId="16357979" w:rsidR="00C96F90" w:rsidRPr="00DF03CE" w:rsidRDefault="00000000">
      <w:pPr>
        <w:pStyle w:val="Heading1"/>
        <w:rPr>
          <w:color w:val="000000" w:themeColor="text1"/>
        </w:rPr>
      </w:pPr>
      <w:r w:rsidRPr="00DF03CE">
        <w:rPr>
          <w:color w:val="000000" w:themeColor="text1"/>
        </w:rPr>
        <w:lastRenderedPageBreak/>
        <w:t>5. Symbolic Grammar: Definition and Function</w:t>
      </w:r>
    </w:p>
    <w:p w14:paraId="4DEFA7D7" w14:textId="77777777" w:rsidR="00C96F90" w:rsidRPr="00DF03CE" w:rsidRDefault="00000000">
      <w:pPr>
        <w:pStyle w:val="Heading2"/>
        <w:rPr>
          <w:color w:val="000000" w:themeColor="text1"/>
        </w:rPr>
      </w:pPr>
      <w:r w:rsidRPr="00DF03CE">
        <w:rPr>
          <w:color w:val="000000" w:themeColor="text1"/>
        </w:rPr>
        <w:t>5.1 Operational Definition</w:t>
      </w:r>
    </w:p>
    <w:p w14:paraId="7E06C52F" w14:textId="77777777" w:rsidR="00C96F90" w:rsidRPr="00DF03CE" w:rsidRDefault="00000000">
      <w:pPr>
        <w:spacing w:before="80" w:after="120"/>
        <w:jc w:val="both"/>
        <w:rPr>
          <w:color w:val="000000" w:themeColor="text1"/>
        </w:rPr>
      </w:pPr>
      <w:r w:rsidRPr="00DF03CE">
        <w:rPr>
          <w:color w:val="000000" w:themeColor="text1"/>
        </w:rPr>
        <w:t>Symbolic grammar refers to a constrained system of spatial, representational, and ritual relations that organizes meaning independently of writing.</w:t>
      </w:r>
      <w:r w:rsidRPr="00DF03CE">
        <w:rPr>
          <w:rStyle w:val="FootnoteReference"/>
          <w:color w:val="000000" w:themeColor="text1"/>
        </w:rPr>
        <w:footnoteReference w:id="26"/>
      </w:r>
      <w:r w:rsidRPr="00DF03CE">
        <w:rPr>
          <w:color w:val="000000" w:themeColor="text1"/>
          <w:vertAlign w:val="superscript"/>
        </w:rPr>
        <w:t>,</w:t>
      </w:r>
      <w:r w:rsidRPr="00DF03CE">
        <w:rPr>
          <w:rStyle w:val="FootnoteReference"/>
          <w:color w:val="000000" w:themeColor="text1"/>
        </w:rPr>
        <w:footnoteReference w:id="27"/>
      </w:r>
      <w:r w:rsidRPr="00DF03CE">
        <w:rPr>
          <w:color w:val="000000" w:themeColor="text1"/>
        </w:rPr>
        <w:t xml:space="preserve"> Features include vertical or axial elements mediating sky–earth or cosmological relationships; directional orientation and enclosure geometry; recurrent non-utilitarian symbolism (pigments, figurative motifs, zoomorphic and anthropomorphic forms); and episodic or cyclical use rather than continuous occupation.</w:t>
      </w:r>
    </w:p>
    <w:p w14:paraId="64C7935C" w14:textId="77777777" w:rsidR="00C96F90" w:rsidRPr="00DF03CE" w:rsidRDefault="00000000">
      <w:pPr>
        <w:spacing w:before="80" w:after="120"/>
        <w:jc w:val="both"/>
        <w:rPr>
          <w:color w:val="000000" w:themeColor="text1"/>
        </w:rPr>
      </w:pPr>
      <w:r w:rsidRPr="00DF03CE">
        <w:rPr>
          <w:color w:val="000000" w:themeColor="text1"/>
        </w:rPr>
        <w:t>Structural relations persist across cultural variation, forming a "syntax" of symbolic and ritual organization.</w:t>
      </w:r>
      <w:r w:rsidRPr="00DF03CE">
        <w:rPr>
          <w:rStyle w:val="FootnoteReference"/>
          <w:color w:val="000000" w:themeColor="text1"/>
        </w:rPr>
        <w:footnoteReference w:id="28"/>
      </w:r>
      <w:r w:rsidRPr="00DF03CE">
        <w:rPr>
          <w:color w:val="000000" w:themeColor="text1"/>
          <w:vertAlign w:val="superscript"/>
        </w:rPr>
        <w:t>,</w:t>
      </w:r>
      <w:r w:rsidRPr="00DF03CE">
        <w:rPr>
          <w:rStyle w:val="FootnoteReference"/>
          <w:color w:val="000000" w:themeColor="text1"/>
        </w:rPr>
        <w:footnoteReference w:id="29"/>
      </w:r>
      <w:r w:rsidRPr="00DF03CE">
        <w:rPr>
          <w:color w:val="000000" w:themeColor="text1"/>
        </w:rPr>
        <w:t xml:space="preserve"> Over tens of thousands of years, these grammars externalize cognitive patterns, eventually expressed in monumental architecture. The T-shaped pillars of the Taş </w:t>
      </w:r>
      <w:proofErr w:type="spellStart"/>
      <w:r w:rsidRPr="00DF03CE">
        <w:rPr>
          <w:color w:val="000000" w:themeColor="text1"/>
        </w:rPr>
        <w:t>Tepeler</w:t>
      </w:r>
      <w:proofErr w:type="spellEnd"/>
      <w:r w:rsidRPr="00DF03CE">
        <w:rPr>
          <w:color w:val="000000" w:themeColor="text1"/>
        </w:rPr>
        <w:t xml:space="preserve"> sites — anthropomorphic in proportion, oriented in enclosure geometry, laden with cross-media redundancy — are the clearest material instantiation of a fully operative symbolic grammar in the Pre-Pottery Neolithic.</w:t>
      </w:r>
    </w:p>
    <w:p w14:paraId="576D10DA" w14:textId="77777777" w:rsidR="00C96F90" w:rsidRPr="00DF03CE" w:rsidRDefault="00000000">
      <w:pPr>
        <w:pStyle w:val="Heading2"/>
        <w:rPr>
          <w:color w:val="000000" w:themeColor="text1"/>
        </w:rPr>
      </w:pPr>
      <w:r w:rsidRPr="00DF03CE">
        <w:rPr>
          <w:color w:val="000000" w:themeColor="text1"/>
        </w:rPr>
        <w:t>5.2 Cognition, Ritual, and Oral Transmission</w:t>
      </w:r>
    </w:p>
    <w:p w14:paraId="0E2C72A2" w14:textId="77777777" w:rsidR="00C96F90" w:rsidRPr="00DF03CE" w:rsidRDefault="00000000">
      <w:pPr>
        <w:spacing w:before="80" w:after="120"/>
        <w:jc w:val="both"/>
        <w:rPr>
          <w:color w:val="000000" w:themeColor="text1"/>
        </w:rPr>
      </w:pPr>
      <w:r w:rsidRPr="00DF03CE">
        <w:rPr>
          <w:color w:val="000000" w:themeColor="text1"/>
        </w:rPr>
        <w:t>Oral societies preserve complex knowledge through ritual repetition, spatial and mnemonic memory, and performative and social encoding.</w:t>
      </w:r>
      <w:r w:rsidRPr="00DF03CE">
        <w:rPr>
          <w:rStyle w:val="FootnoteReference"/>
          <w:color w:val="000000" w:themeColor="text1"/>
        </w:rPr>
        <w:footnoteReference w:id="30"/>
      </w:r>
      <w:r w:rsidRPr="00DF03CE">
        <w:rPr>
          <w:color w:val="000000" w:themeColor="text1"/>
          <w:vertAlign w:val="superscript"/>
        </w:rPr>
        <w:t>,</w:t>
      </w:r>
      <w:r w:rsidRPr="00DF03CE">
        <w:rPr>
          <w:rStyle w:val="FootnoteReference"/>
          <w:color w:val="000000" w:themeColor="text1"/>
        </w:rPr>
        <w:footnoteReference w:id="31"/>
      </w:r>
      <w:r w:rsidRPr="00DF03CE">
        <w:rPr>
          <w:color w:val="000000" w:themeColor="text1"/>
        </w:rPr>
        <w:t xml:space="preserve"> Monumental sites function as externalized memory — reducing reliance on individual recall and enabling intergenerational continuity independent of any single carrier.</w:t>
      </w:r>
      <w:r w:rsidRPr="00DF03CE">
        <w:rPr>
          <w:rStyle w:val="FootnoteReference"/>
          <w:color w:val="000000" w:themeColor="text1"/>
        </w:rPr>
        <w:footnoteReference w:id="32"/>
      </w:r>
      <w:r w:rsidRPr="00DF03CE">
        <w:rPr>
          <w:color w:val="000000" w:themeColor="text1"/>
        </w:rPr>
        <w:t xml:space="preserve"> Writing later formalizes, rather than originates, these cognitive frameworks.</w:t>
      </w:r>
      <w:r w:rsidRPr="00DF03CE">
        <w:rPr>
          <w:rStyle w:val="FootnoteReference"/>
          <w:color w:val="000000" w:themeColor="text1"/>
        </w:rPr>
        <w:footnoteReference w:id="33"/>
      </w:r>
      <w:r w:rsidRPr="00DF03CE">
        <w:rPr>
          <w:color w:val="000000" w:themeColor="text1"/>
          <w:vertAlign w:val="superscript"/>
        </w:rPr>
        <w:t>,</w:t>
      </w:r>
      <w:r w:rsidRPr="00DF03CE">
        <w:rPr>
          <w:rStyle w:val="FootnoteReference"/>
          <w:color w:val="000000" w:themeColor="text1"/>
        </w:rPr>
        <w:footnoteReference w:id="34"/>
      </w:r>
      <w:r w:rsidRPr="00DF03CE">
        <w:rPr>
          <w:color w:val="000000" w:themeColor="text1"/>
        </w:rPr>
        <w:t xml:space="preserve"> The cognitive architecture required for writing was built over hundreds of thousands of years before a single cuneiform tablet was pressed.</w:t>
      </w:r>
    </w:p>
    <w:p w14:paraId="5A3678DB" w14:textId="77777777" w:rsidR="00C96F90" w:rsidRPr="00DF03CE" w:rsidRDefault="00000000">
      <w:pPr>
        <w:pStyle w:val="Heading1"/>
        <w:rPr>
          <w:color w:val="000000" w:themeColor="text1"/>
        </w:rPr>
      </w:pPr>
      <w:r w:rsidRPr="00DF03CE">
        <w:rPr>
          <w:color w:val="000000" w:themeColor="text1"/>
        </w:rPr>
        <w:t>6. Monumentality Without Agriculture</w:t>
      </w:r>
    </w:p>
    <w:p w14:paraId="76C758C0" w14:textId="77777777" w:rsidR="00C96F90" w:rsidRPr="00DF03CE" w:rsidRDefault="00000000">
      <w:pPr>
        <w:spacing w:before="80" w:after="120"/>
        <w:jc w:val="both"/>
        <w:rPr>
          <w:color w:val="000000" w:themeColor="text1"/>
        </w:rPr>
      </w:pPr>
      <w:r w:rsidRPr="00DF03CE">
        <w:rPr>
          <w:color w:val="000000" w:themeColor="text1"/>
        </w:rPr>
        <w:t>DSSM explains large-scale construction in hunter-gatherer and semi-sedentary societies by prioritizing ritual motivation over economic surplus as the primary driver.</w:t>
      </w:r>
      <w:r w:rsidRPr="00DF03CE">
        <w:rPr>
          <w:rStyle w:val="FootnoteReference"/>
          <w:color w:val="000000" w:themeColor="text1"/>
        </w:rPr>
        <w:footnoteReference w:id="35"/>
      </w:r>
      <w:r w:rsidRPr="00DF03CE">
        <w:rPr>
          <w:color w:val="000000" w:themeColor="text1"/>
          <w:vertAlign w:val="superscript"/>
        </w:rPr>
        <w:t>,</w:t>
      </w:r>
      <w:r w:rsidRPr="00DF03CE">
        <w:rPr>
          <w:rStyle w:val="FootnoteReference"/>
          <w:color w:val="000000" w:themeColor="text1"/>
        </w:rPr>
        <w:footnoteReference w:id="36"/>
      </w:r>
      <w:r w:rsidRPr="00DF03CE">
        <w:rPr>
          <w:color w:val="000000" w:themeColor="text1"/>
        </w:rPr>
        <w:t xml:space="preserve"> Shared beliefs and ritual obligations mobilize coordinated labor at scales that exceed any household or kinship unit; repetition of ceremonial practices reinforces group identity and cosmological order across </w:t>
      </w:r>
      <w:r w:rsidRPr="00DF03CE">
        <w:rPr>
          <w:color w:val="000000" w:themeColor="text1"/>
        </w:rPr>
        <w:lastRenderedPageBreak/>
        <w:t>generations; and structural repetition across generations maintains cultural continuity independent of political or ecological disruption.</w:t>
      </w:r>
    </w:p>
    <w:p w14:paraId="58A4ACDE" w14:textId="77777777" w:rsidR="00C96F90" w:rsidRPr="00DF03CE" w:rsidRDefault="00000000">
      <w:pPr>
        <w:spacing w:before="80" w:after="120"/>
        <w:jc w:val="both"/>
        <w:rPr>
          <w:color w:val="000000" w:themeColor="text1"/>
        </w:rPr>
      </w:pPr>
      <w:r w:rsidRPr="00DF03CE">
        <w:rPr>
          <w:color w:val="000000" w:themeColor="text1"/>
        </w:rPr>
        <w:t xml:space="preserve">The Taş </w:t>
      </w:r>
      <w:proofErr w:type="spellStart"/>
      <w:r w:rsidRPr="00DF03CE">
        <w:rPr>
          <w:color w:val="000000" w:themeColor="text1"/>
        </w:rPr>
        <w:t>Tepeler</w:t>
      </w:r>
      <w:proofErr w:type="spellEnd"/>
      <w:r w:rsidRPr="00DF03CE">
        <w:rPr>
          <w:color w:val="000000" w:themeColor="text1"/>
        </w:rPr>
        <w:t xml:space="preserve"> landscape provides the most concentrated empirical evidence for this claim in the current record.</w:t>
      </w:r>
      <w:r w:rsidRPr="00DF03CE">
        <w:rPr>
          <w:rStyle w:val="FootnoteReference"/>
          <w:color w:val="000000" w:themeColor="text1"/>
        </w:rPr>
        <w:footnoteReference w:id="37"/>
      </w:r>
      <w:r w:rsidRPr="00DF03CE">
        <w:rPr>
          <w:color w:val="000000" w:themeColor="text1"/>
        </w:rPr>
        <w:t xml:space="preserve"> Sites including </w:t>
      </w:r>
      <w:proofErr w:type="spellStart"/>
      <w:r w:rsidRPr="00DF03CE">
        <w:rPr>
          <w:color w:val="000000" w:themeColor="text1"/>
        </w:rPr>
        <w:t>Göbekli</w:t>
      </w:r>
      <w:proofErr w:type="spellEnd"/>
      <w:r w:rsidRPr="00DF03CE">
        <w:rPr>
          <w:color w:val="000000" w:themeColor="text1"/>
        </w:rPr>
        <w:t xml:space="preserve"> Tepe, Karahan Tepe, </w:t>
      </w:r>
      <w:proofErr w:type="spellStart"/>
      <w:r w:rsidRPr="00DF03CE">
        <w:rPr>
          <w:color w:val="000000" w:themeColor="text1"/>
        </w:rPr>
        <w:t>Sayburç</w:t>
      </w:r>
      <w:proofErr w:type="spellEnd"/>
      <w:r w:rsidRPr="00DF03CE">
        <w:rPr>
          <w:color w:val="000000" w:themeColor="text1"/>
        </w:rPr>
        <w:t xml:space="preserve">, and </w:t>
      </w:r>
      <w:proofErr w:type="spellStart"/>
      <w:r w:rsidRPr="00DF03CE">
        <w:rPr>
          <w:color w:val="000000" w:themeColor="text1"/>
        </w:rPr>
        <w:t>Sefertepe</w:t>
      </w:r>
      <w:proofErr w:type="spellEnd"/>
      <w:r w:rsidRPr="00DF03CE">
        <w:rPr>
          <w:color w:val="000000" w:themeColor="text1"/>
        </w:rPr>
        <w:t xml:space="preserve"> demonstrate monumental construction, sophisticated sculptural programs, and multi-site symbolic coherence across a 200-kilometer landscape — all before the domestication of plants or animals, before pottery, and before any administrative infrastructure. </w:t>
      </w:r>
      <w:proofErr w:type="spellStart"/>
      <w:r w:rsidRPr="00DF03CE">
        <w:rPr>
          <w:color w:val="000000" w:themeColor="text1"/>
        </w:rPr>
        <w:t>Sayburç's</w:t>
      </w:r>
      <w:proofErr w:type="spellEnd"/>
      <w:r w:rsidRPr="00DF03CE">
        <w:rPr>
          <w:color w:val="000000" w:themeColor="text1"/>
        </w:rPr>
        <w:t xml:space="preserve"> hunting-scene narrative, Karahan Tepe's rock-cut ritual chamber with life-scale human figures, and </w:t>
      </w:r>
      <w:proofErr w:type="spellStart"/>
      <w:r w:rsidRPr="00DF03CE">
        <w:rPr>
          <w:color w:val="000000" w:themeColor="text1"/>
        </w:rPr>
        <w:t>Sefertepe's</w:t>
      </w:r>
      <w:proofErr w:type="spellEnd"/>
      <w:r w:rsidRPr="00DF03CE">
        <w:rPr>
          <w:color w:val="000000" w:themeColor="text1"/>
        </w:rPr>
        <w:t xml:space="preserve"> stylistically distinct carved faces collectively demonstrate not a single symbolic tradition but a networked landscape of interacting symbolic communities — precisely the Stage 3 signature the model predicts.</w:t>
      </w:r>
    </w:p>
    <w:p w14:paraId="4088A8E0" w14:textId="77777777" w:rsidR="00C96F90" w:rsidRPr="00DF03CE" w:rsidRDefault="00000000">
      <w:pPr>
        <w:spacing w:before="80" w:after="120"/>
        <w:jc w:val="both"/>
        <w:rPr>
          <w:color w:val="000000" w:themeColor="text1"/>
        </w:rPr>
      </w:pPr>
      <w:r w:rsidRPr="00DF03CE">
        <w:rPr>
          <w:color w:val="000000" w:themeColor="text1"/>
        </w:rPr>
        <w:t xml:space="preserve">Additional evidence includes </w:t>
      </w:r>
      <w:proofErr w:type="spellStart"/>
      <w:r w:rsidRPr="00DF03CE">
        <w:rPr>
          <w:color w:val="000000" w:themeColor="text1"/>
        </w:rPr>
        <w:t>Bruniquel</w:t>
      </w:r>
      <w:proofErr w:type="spellEnd"/>
      <w:r w:rsidRPr="00DF03CE">
        <w:rPr>
          <w:color w:val="000000" w:themeColor="text1"/>
        </w:rPr>
        <w:t xml:space="preserve"> Cave's Neanderthal spatial organization (176,000 BP), which registers as proto-offloading — consistent with the emergence of symbolic constraint without its full four-criterion expression</w:t>
      </w:r>
      <w:r w:rsidRPr="00DF03CE">
        <w:rPr>
          <w:rStyle w:val="FootnoteReference"/>
          <w:color w:val="000000" w:themeColor="text1"/>
        </w:rPr>
        <w:footnoteReference w:id="38"/>
      </w:r>
      <w:r w:rsidRPr="00DF03CE">
        <w:rPr>
          <w:color w:val="000000" w:themeColor="text1"/>
          <w:vertAlign w:val="superscript"/>
        </w:rPr>
        <w:t>,</w:t>
      </w:r>
      <w:r w:rsidRPr="00DF03CE">
        <w:rPr>
          <w:rStyle w:val="FootnoteReference"/>
          <w:color w:val="000000" w:themeColor="text1"/>
        </w:rPr>
        <w:footnoteReference w:id="39"/>
      </w:r>
      <w:r w:rsidRPr="00DF03CE">
        <w:rPr>
          <w:color w:val="000000" w:themeColor="text1"/>
        </w:rPr>
        <w:t>; Blombos Cave's engraved ochre assemblage (c. 75,000 BCE)</w:t>
      </w:r>
      <w:r w:rsidRPr="00DF03CE">
        <w:rPr>
          <w:rStyle w:val="FootnoteReference"/>
          <w:color w:val="000000" w:themeColor="text1"/>
        </w:rPr>
        <w:footnoteReference w:id="40"/>
      </w:r>
      <w:r w:rsidRPr="00DF03CE">
        <w:rPr>
          <w:color w:val="000000" w:themeColor="text1"/>
        </w:rPr>
        <w:t>; and Sulawesi figurative cave art (≥51,200 BCE).</w:t>
      </w:r>
      <w:r w:rsidRPr="00DF03CE">
        <w:rPr>
          <w:rStyle w:val="FootnoteReference"/>
          <w:color w:val="000000" w:themeColor="text1"/>
        </w:rPr>
        <w:footnoteReference w:id="41"/>
      </w:r>
    </w:p>
    <w:p w14:paraId="55C36640" w14:textId="77777777" w:rsidR="00C96F90" w:rsidRPr="00DF03CE" w:rsidRDefault="00000000">
      <w:pPr>
        <w:pStyle w:val="Heading1"/>
        <w:rPr>
          <w:color w:val="000000" w:themeColor="text1"/>
        </w:rPr>
      </w:pPr>
      <w:r w:rsidRPr="00DF03CE">
        <w:rPr>
          <w:color w:val="000000" w:themeColor="text1"/>
        </w:rPr>
        <w:t>7. Continuity and Stabilization Pathways</w:t>
      </w:r>
    </w:p>
    <w:p w14:paraId="44368D07" w14:textId="77777777" w:rsidR="00C96F90" w:rsidRPr="00DF03CE" w:rsidRDefault="00000000">
      <w:pPr>
        <w:pStyle w:val="Heading2"/>
        <w:rPr>
          <w:color w:val="000000" w:themeColor="text1"/>
        </w:rPr>
      </w:pPr>
      <w:r w:rsidRPr="00DF03CE">
        <w:rPr>
          <w:color w:val="000000" w:themeColor="text1"/>
        </w:rPr>
        <w:t>7.1 Four Stabilization Pathways</w:t>
      </w:r>
    </w:p>
    <w:p w14:paraId="7BCD0EF8" w14:textId="77777777" w:rsidR="00C96F90" w:rsidRPr="00DF03CE" w:rsidRDefault="00000000">
      <w:pPr>
        <w:spacing w:before="80" w:after="120"/>
        <w:jc w:val="both"/>
        <w:rPr>
          <w:color w:val="000000" w:themeColor="text1"/>
        </w:rPr>
      </w:pPr>
      <w:r w:rsidRPr="00DF03CE">
        <w:rPr>
          <w:color w:val="000000" w:themeColor="text1"/>
        </w:rPr>
        <w:t>DSSM identifies four primary pathways by which symbolic systems achieve Stage 3–4 stabilization.</w:t>
      </w:r>
      <w:r w:rsidRPr="00DF03CE">
        <w:rPr>
          <w:rStyle w:val="FootnoteReference"/>
          <w:color w:val="000000" w:themeColor="text1"/>
        </w:rPr>
        <w:footnoteReference w:id="42"/>
      </w:r>
      <w:r w:rsidRPr="00DF03CE">
        <w:rPr>
          <w:color w:val="000000" w:themeColor="text1"/>
          <w:vertAlign w:val="superscript"/>
        </w:rPr>
        <w:t>,</w:t>
      </w:r>
      <w:r w:rsidRPr="00DF03CE">
        <w:rPr>
          <w:rStyle w:val="FootnoteReference"/>
          <w:color w:val="000000" w:themeColor="text1"/>
        </w:rPr>
        <w:footnoteReference w:id="43"/>
      </w:r>
      <w:r w:rsidRPr="00DF03CE">
        <w:rPr>
          <w:color w:val="000000" w:themeColor="text1"/>
        </w:rPr>
        <w:t xml:space="preserve"> These are not mutually exclusive and may overlap within a single civilization, but each has a dominant structural logic:</w:t>
      </w:r>
    </w:p>
    <w:p w14:paraId="04C4409A"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Pathway 1 — Axial-River / Stone-Anchor (Egypt, Mesopotamia): Spatial constraint provided by a dominant geographic axis; symbolic load anchored in stone monumentality with high persistence-under-stress scores.</w:t>
      </w:r>
    </w:p>
    <w:p w14:paraId="77EEF4D6"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Pathway 2 — Portable / Craft-Based (East Asia): Symbolic continuity maintained through ceramic traditions, oracle bones, and portable media; lower spatial constraint but high cross-media redundancy.</w:t>
      </w:r>
    </w:p>
    <w:p w14:paraId="2533ABFB"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Pathway 3 — Distributed / Network (Mesoamerica): Symbolic coherence maintained across distributed ritual centers without a dominant geographic anchor; coordination through shared calendar and astronomical systems.</w:t>
      </w:r>
    </w:p>
    <w:p w14:paraId="4A5987C9"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lastRenderedPageBreak/>
        <w:t>Pathway 4 — Infrastructural Embedding (Indus Valley): Spatial constraint encoded in urban grid standardization; symbolic regulation through seal systems and standardized weights.</w:t>
      </w:r>
    </w:p>
    <w:p w14:paraId="67BB0E6C" w14:textId="77777777" w:rsidR="00C96F90" w:rsidRPr="00DF03CE" w:rsidRDefault="00C96F90">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2200"/>
        <w:gridCol w:w="1500"/>
        <w:gridCol w:w="3960"/>
      </w:tblGrid>
      <w:tr w:rsidR="00C96F90" w:rsidRPr="00DF03CE" w14:paraId="182EF17D" w14:textId="77777777">
        <w:tblPrEx>
          <w:tblCellMar>
            <w:top w:w="0" w:type="dxa"/>
            <w:bottom w:w="0" w:type="dxa"/>
          </w:tblCellMar>
        </w:tblPrEx>
        <w:trPr>
          <w:tblHeader/>
        </w:trPr>
        <w:tc>
          <w:tcPr>
            <w:tcW w:w="1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00" w:type="dxa"/>
              <w:bottom w:w="80" w:type="dxa"/>
              <w:right w:w="100" w:type="dxa"/>
            </w:tcMar>
          </w:tcPr>
          <w:p w14:paraId="0E252E5D" w14:textId="77777777" w:rsidR="00C96F90" w:rsidRPr="00DF03CE" w:rsidRDefault="00000000" w:rsidP="00DF03CE">
            <w:pPr>
              <w:jc w:val="center"/>
              <w:rPr>
                <w:color w:val="000000" w:themeColor="text1"/>
              </w:rPr>
            </w:pPr>
            <w:r w:rsidRPr="00DF03CE">
              <w:rPr>
                <w:b/>
                <w:bCs/>
                <w:color w:val="000000" w:themeColor="text1"/>
                <w:sz w:val="19"/>
                <w:szCs w:val="19"/>
              </w:rPr>
              <w:t>Civilization</w:t>
            </w:r>
          </w:p>
        </w:tc>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00" w:type="dxa"/>
              <w:bottom w:w="80" w:type="dxa"/>
              <w:right w:w="100" w:type="dxa"/>
            </w:tcMar>
          </w:tcPr>
          <w:p w14:paraId="43705331" w14:textId="77777777" w:rsidR="00C96F90" w:rsidRPr="00DF03CE" w:rsidRDefault="00000000" w:rsidP="00DF03CE">
            <w:pPr>
              <w:jc w:val="center"/>
              <w:rPr>
                <w:color w:val="000000" w:themeColor="text1"/>
              </w:rPr>
            </w:pPr>
            <w:r w:rsidRPr="00DF03CE">
              <w:rPr>
                <w:b/>
                <w:bCs/>
                <w:color w:val="000000" w:themeColor="text1"/>
                <w:sz w:val="19"/>
                <w:szCs w:val="19"/>
              </w:rPr>
              <w:t>Stabilization Pathway</w:t>
            </w:r>
          </w:p>
        </w:tc>
        <w:tc>
          <w:tcPr>
            <w:tcW w:w="15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00" w:type="dxa"/>
              <w:bottom w:w="80" w:type="dxa"/>
              <w:right w:w="100" w:type="dxa"/>
            </w:tcMar>
          </w:tcPr>
          <w:p w14:paraId="47345B7D" w14:textId="77777777" w:rsidR="00C96F90" w:rsidRPr="00DF03CE" w:rsidRDefault="00000000" w:rsidP="00DF03CE">
            <w:pPr>
              <w:jc w:val="center"/>
              <w:rPr>
                <w:color w:val="000000" w:themeColor="text1"/>
              </w:rPr>
            </w:pPr>
            <w:r w:rsidRPr="00DF03CE">
              <w:rPr>
                <w:b/>
                <w:bCs/>
                <w:color w:val="000000" w:themeColor="text1"/>
                <w:sz w:val="19"/>
                <w:szCs w:val="19"/>
              </w:rPr>
              <w:t>DSSM Saturation</w:t>
            </w:r>
          </w:p>
        </w:tc>
        <w:tc>
          <w:tcPr>
            <w:tcW w:w="39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00" w:type="dxa"/>
              <w:bottom w:w="80" w:type="dxa"/>
              <w:right w:w="100" w:type="dxa"/>
            </w:tcMar>
          </w:tcPr>
          <w:p w14:paraId="3EA69856" w14:textId="77777777" w:rsidR="00C96F90" w:rsidRPr="00DF03CE" w:rsidRDefault="00000000" w:rsidP="00DF03CE">
            <w:pPr>
              <w:jc w:val="center"/>
              <w:rPr>
                <w:color w:val="000000" w:themeColor="text1"/>
              </w:rPr>
            </w:pPr>
            <w:r w:rsidRPr="00DF03CE">
              <w:rPr>
                <w:b/>
                <w:bCs/>
                <w:color w:val="000000" w:themeColor="text1"/>
                <w:sz w:val="19"/>
                <w:szCs w:val="19"/>
              </w:rPr>
              <w:t>Key Signature</w:t>
            </w:r>
          </w:p>
        </w:tc>
      </w:tr>
      <w:tr w:rsidR="00C96F90" w:rsidRPr="00DF03CE" w14:paraId="12E9B9F1" w14:textId="77777777">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5BF2FE82" w14:textId="77777777" w:rsidR="00C96F90" w:rsidRPr="00DF03CE" w:rsidRDefault="00000000" w:rsidP="00DF03CE">
            <w:pPr>
              <w:jc w:val="center"/>
              <w:rPr>
                <w:color w:val="000000" w:themeColor="text1"/>
              </w:rPr>
            </w:pPr>
            <w:r w:rsidRPr="00DF03CE">
              <w:rPr>
                <w:b/>
                <w:bCs/>
                <w:color w:val="000000" w:themeColor="text1"/>
                <w:sz w:val="19"/>
                <w:szCs w:val="19"/>
              </w:rPr>
              <w:t>Egypt</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1AA09D" w14:textId="77777777" w:rsidR="00C96F90" w:rsidRPr="00DF03CE" w:rsidRDefault="00000000" w:rsidP="00DF03CE">
            <w:pPr>
              <w:jc w:val="center"/>
              <w:rPr>
                <w:color w:val="000000" w:themeColor="text1"/>
              </w:rPr>
            </w:pPr>
            <w:r w:rsidRPr="00DF03CE">
              <w:rPr>
                <w:color w:val="000000" w:themeColor="text1"/>
                <w:sz w:val="19"/>
                <w:szCs w:val="19"/>
              </w:rPr>
              <w:t>Axial-River / Stone-Anchor</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906347" w14:textId="77777777" w:rsidR="00C96F90" w:rsidRPr="00DF03CE" w:rsidRDefault="00000000" w:rsidP="00DF03CE">
            <w:pPr>
              <w:jc w:val="center"/>
              <w:rPr>
                <w:color w:val="000000" w:themeColor="text1"/>
              </w:rPr>
            </w:pPr>
            <w:r w:rsidRPr="00DF03CE">
              <w:rPr>
                <w:color w:val="000000" w:themeColor="text1"/>
                <w:sz w:val="19"/>
                <w:szCs w:val="19"/>
              </w:rPr>
              <w:t>~12,500 BCE</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3D7622" w14:textId="77777777" w:rsidR="00C96F90" w:rsidRPr="00DF03CE" w:rsidRDefault="00000000" w:rsidP="00DF03CE">
            <w:pPr>
              <w:jc w:val="center"/>
              <w:rPr>
                <w:color w:val="000000" w:themeColor="text1"/>
              </w:rPr>
            </w:pPr>
            <w:r w:rsidRPr="00DF03CE">
              <w:rPr>
                <w:color w:val="000000" w:themeColor="text1"/>
                <w:sz w:val="19"/>
                <w:szCs w:val="19"/>
              </w:rPr>
              <w:t>Continuous Nile axis; stone monumentality; cross-media symbolic redundancy from deep Predynastic</w:t>
            </w:r>
          </w:p>
        </w:tc>
      </w:tr>
      <w:tr w:rsidR="00C96F90" w:rsidRPr="00DF03CE" w14:paraId="08600F29" w14:textId="77777777">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2B8EFFE2" w14:textId="77777777" w:rsidR="00C96F90" w:rsidRPr="00DF03CE" w:rsidRDefault="00000000" w:rsidP="00DF03CE">
            <w:pPr>
              <w:jc w:val="center"/>
              <w:rPr>
                <w:color w:val="000000" w:themeColor="text1"/>
              </w:rPr>
            </w:pPr>
            <w:r w:rsidRPr="00DF03CE">
              <w:rPr>
                <w:b/>
                <w:bCs/>
                <w:color w:val="000000" w:themeColor="text1"/>
                <w:sz w:val="19"/>
                <w:szCs w:val="19"/>
              </w:rPr>
              <w:t>Mesopotamia</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FB56D2" w14:textId="77777777" w:rsidR="00C96F90" w:rsidRPr="00DF03CE" w:rsidRDefault="00000000" w:rsidP="00DF03CE">
            <w:pPr>
              <w:jc w:val="center"/>
              <w:rPr>
                <w:color w:val="000000" w:themeColor="text1"/>
              </w:rPr>
            </w:pPr>
            <w:r w:rsidRPr="00DF03CE">
              <w:rPr>
                <w:color w:val="000000" w:themeColor="text1"/>
                <w:sz w:val="19"/>
                <w:szCs w:val="19"/>
              </w:rPr>
              <w:t>Axial-River / Stone-Anchor</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3E8855" w14:textId="77777777" w:rsidR="00C96F90" w:rsidRPr="00DF03CE" w:rsidRDefault="00000000" w:rsidP="00DF03CE">
            <w:pPr>
              <w:jc w:val="center"/>
              <w:rPr>
                <w:color w:val="000000" w:themeColor="text1"/>
              </w:rPr>
            </w:pPr>
            <w:r w:rsidRPr="00DF03CE">
              <w:rPr>
                <w:color w:val="000000" w:themeColor="text1"/>
                <w:sz w:val="19"/>
                <w:szCs w:val="19"/>
              </w:rPr>
              <w:t>~8,000 BCE</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01211D" w14:textId="77777777" w:rsidR="00C96F90" w:rsidRPr="00DF03CE" w:rsidRDefault="00000000" w:rsidP="00DF03CE">
            <w:pPr>
              <w:jc w:val="center"/>
              <w:rPr>
                <w:color w:val="000000" w:themeColor="text1"/>
              </w:rPr>
            </w:pPr>
            <w:r w:rsidRPr="00DF03CE">
              <w:rPr>
                <w:color w:val="000000" w:themeColor="text1"/>
                <w:sz w:val="19"/>
                <w:szCs w:val="19"/>
              </w:rPr>
              <w:t>Temple mound architecture; cuneiform compression of pre-existing symbolic load</w:t>
            </w:r>
          </w:p>
        </w:tc>
      </w:tr>
      <w:tr w:rsidR="00C96F90" w:rsidRPr="00DF03CE" w14:paraId="38ADEF1C" w14:textId="77777777">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68323F28" w14:textId="77777777" w:rsidR="00C96F90" w:rsidRPr="00DF03CE" w:rsidRDefault="00000000" w:rsidP="00DF03CE">
            <w:pPr>
              <w:jc w:val="center"/>
              <w:rPr>
                <w:color w:val="000000" w:themeColor="text1"/>
              </w:rPr>
            </w:pPr>
            <w:r w:rsidRPr="00DF03CE">
              <w:rPr>
                <w:b/>
                <w:bCs/>
                <w:color w:val="000000" w:themeColor="text1"/>
                <w:sz w:val="19"/>
                <w:szCs w:val="19"/>
              </w:rPr>
              <w:t>East Asia</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ADC243" w14:textId="77777777" w:rsidR="00C96F90" w:rsidRPr="00DF03CE" w:rsidRDefault="00000000" w:rsidP="00DF03CE">
            <w:pPr>
              <w:jc w:val="center"/>
              <w:rPr>
                <w:color w:val="000000" w:themeColor="text1"/>
              </w:rPr>
            </w:pPr>
            <w:r w:rsidRPr="00DF03CE">
              <w:rPr>
                <w:color w:val="000000" w:themeColor="text1"/>
                <w:sz w:val="19"/>
                <w:szCs w:val="19"/>
              </w:rPr>
              <w:t>Portable / Craft-Based</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02714A" w14:textId="77777777" w:rsidR="00C96F90" w:rsidRPr="00DF03CE" w:rsidRDefault="00000000" w:rsidP="00DF03CE">
            <w:pPr>
              <w:jc w:val="center"/>
              <w:rPr>
                <w:color w:val="000000" w:themeColor="text1"/>
              </w:rPr>
            </w:pPr>
            <w:r w:rsidRPr="00DF03CE">
              <w:rPr>
                <w:color w:val="000000" w:themeColor="text1"/>
                <w:sz w:val="19"/>
                <w:szCs w:val="19"/>
              </w:rPr>
              <w:t>~6,000 BCE</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C0DB68" w14:textId="77777777" w:rsidR="00C96F90" w:rsidRPr="00DF03CE" w:rsidRDefault="00000000" w:rsidP="00DF03CE">
            <w:pPr>
              <w:jc w:val="center"/>
              <w:rPr>
                <w:color w:val="000000" w:themeColor="text1"/>
              </w:rPr>
            </w:pPr>
            <w:r w:rsidRPr="00DF03CE">
              <w:rPr>
                <w:color w:val="000000" w:themeColor="text1"/>
                <w:sz w:val="19"/>
                <w:szCs w:val="19"/>
              </w:rPr>
              <w:t>Ceramic symbolism; oracle bone traditions; symbolic continuity through portable media</w:t>
            </w:r>
          </w:p>
        </w:tc>
      </w:tr>
      <w:tr w:rsidR="00C96F90" w:rsidRPr="00DF03CE" w14:paraId="01CF5893" w14:textId="77777777">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03BAE635" w14:textId="77777777" w:rsidR="00C96F90" w:rsidRPr="00DF03CE" w:rsidRDefault="00000000" w:rsidP="00DF03CE">
            <w:pPr>
              <w:jc w:val="center"/>
              <w:rPr>
                <w:color w:val="000000" w:themeColor="text1"/>
              </w:rPr>
            </w:pPr>
            <w:r w:rsidRPr="00DF03CE">
              <w:rPr>
                <w:b/>
                <w:bCs/>
                <w:color w:val="000000" w:themeColor="text1"/>
                <w:sz w:val="19"/>
                <w:szCs w:val="19"/>
              </w:rPr>
              <w:t>Indus Valley</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1E3B59" w14:textId="77777777" w:rsidR="00C96F90" w:rsidRPr="00DF03CE" w:rsidRDefault="00000000" w:rsidP="00DF03CE">
            <w:pPr>
              <w:jc w:val="center"/>
              <w:rPr>
                <w:color w:val="000000" w:themeColor="text1"/>
              </w:rPr>
            </w:pPr>
            <w:r w:rsidRPr="00DF03CE">
              <w:rPr>
                <w:color w:val="000000" w:themeColor="text1"/>
                <w:sz w:val="19"/>
                <w:szCs w:val="19"/>
              </w:rPr>
              <w:t>Infrastructural Embedding</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D792BD" w14:textId="77777777" w:rsidR="00C96F90" w:rsidRPr="00DF03CE" w:rsidRDefault="00000000" w:rsidP="00DF03CE">
            <w:pPr>
              <w:jc w:val="center"/>
              <w:rPr>
                <w:color w:val="000000" w:themeColor="text1"/>
              </w:rPr>
            </w:pPr>
            <w:r w:rsidRPr="00DF03CE">
              <w:rPr>
                <w:color w:val="000000" w:themeColor="text1"/>
                <w:sz w:val="19"/>
                <w:szCs w:val="19"/>
              </w:rPr>
              <w:t>~5,500 BCE</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250221" w14:textId="77777777" w:rsidR="00C96F90" w:rsidRPr="00DF03CE" w:rsidRDefault="00000000" w:rsidP="00DF03CE">
            <w:pPr>
              <w:jc w:val="center"/>
              <w:rPr>
                <w:color w:val="000000" w:themeColor="text1"/>
              </w:rPr>
            </w:pPr>
            <w:r w:rsidRPr="00DF03CE">
              <w:rPr>
                <w:color w:val="000000" w:themeColor="text1"/>
                <w:sz w:val="19"/>
                <w:szCs w:val="19"/>
              </w:rPr>
              <w:t>Urban grid as spatial constraint; standardized weights; seal symbolism</w:t>
            </w:r>
          </w:p>
        </w:tc>
      </w:tr>
      <w:tr w:rsidR="00C96F90" w:rsidRPr="00DF03CE" w14:paraId="1A3BCA07" w14:textId="77777777">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00" w:type="dxa"/>
              <w:bottom w:w="60" w:type="dxa"/>
              <w:right w:w="100" w:type="dxa"/>
            </w:tcMar>
          </w:tcPr>
          <w:p w14:paraId="0A85B5CE" w14:textId="77777777" w:rsidR="00C96F90" w:rsidRPr="00DF03CE" w:rsidRDefault="00000000" w:rsidP="00DF03CE">
            <w:pPr>
              <w:jc w:val="center"/>
              <w:rPr>
                <w:color w:val="000000" w:themeColor="text1"/>
              </w:rPr>
            </w:pPr>
            <w:r w:rsidRPr="00DF03CE">
              <w:rPr>
                <w:b/>
                <w:bCs/>
                <w:color w:val="000000" w:themeColor="text1"/>
                <w:sz w:val="19"/>
                <w:szCs w:val="19"/>
              </w:rPr>
              <w:t>Mesoamerica</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9C4E5E" w14:textId="77777777" w:rsidR="00C96F90" w:rsidRPr="00DF03CE" w:rsidRDefault="00000000" w:rsidP="00DF03CE">
            <w:pPr>
              <w:jc w:val="center"/>
              <w:rPr>
                <w:color w:val="000000" w:themeColor="text1"/>
              </w:rPr>
            </w:pPr>
            <w:r w:rsidRPr="00DF03CE">
              <w:rPr>
                <w:color w:val="000000" w:themeColor="text1"/>
                <w:sz w:val="19"/>
                <w:szCs w:val="19"/>
              </w:rPr>
              <w:t>Distributed / Network</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775543" w14:textId="77777777" w:rsidR="00C96F90" w:rsidRPr="00DF03CE" w:rsidRDefault="00000000" w:rsidP="00DF03CE">
            <w:pPr>
              <w:jc w:val="center"/>
              <w:rPr>
                <w:color w:val="000000" w:themeColor="text1"/>
              </w:rPr>
            </w:pPr>
            <w:r w:rsidRPr="00DF03CE">
              <w:rPr>
                <w:color w:val="000000" w:themeColor="text1"/>
                <w:sz w:val="19"/>
                <w:szCs w:val="19"/>
              </w:rPr>
              <w:t>~4,000 BCE</w:t>
            </w:r>
          </w:p>
        </w:tc>
        <w:tc>
          <w:tcPr>
            <w:tcW w:w="39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0ED62F" w14:textId="77777777" w:rsidR="00C96F90" w:rsidRPr="00DF03CE" w:rsidRDefault="00000000" w:rsidP="00DF03CE">
            <w:pPr>
              <w:jc w:val="center"/>
              <w:rPr>
                <w:color w:val="000000" w:themeColor="text1"/>
              </w:rPr>
            </w:pPr>
            <w:r w:rsidRPr="00DF03CE">
              <w:rPr>
                <w:color w:val="000000" w:themeColor="text1"/>
                <w:sz w:val="19"/>
                <w:szCs w:val="19"/>
              </w:rPr>
              <w:t>Distributed ritual centers; Long Count calendar as coordination mechanism</w:t>
            </w:r>
          </w:p>
        </w:tc>
      </w:tr>
    </w:tbl>
    <w:p w14:paraId="02C23940" w14:textId="77777777" w:rsidR="00C96F90" w:rsidRPr="00DF03CE" w:rsidRDefault="00C96F90">
      <w:pPr>
        <w:spacing w:before="120" w:after="80"/>
        <w:rPr>
          <w:color w:val="000000" w:themeColor="text1"/>
        </w:rPr>
      </w:pPr>
    </w:p>
    <w:p w14:paraId="701B0365" w14:textId="77777777" w:rsidR="00C96F90" w:rsidRPr="00DF03CE" w:rsidRDefault="00000000">
      <w:pPr>
        <w:pStyle w:val="Heading2"/>
        <w:rPr>
          <w:color w:val="000000" w:themeColor="text1"/>
        </w:rPr>
      </w:pPr>
      <w:r w:rsidRPr="00DF03CE">
        <w:rPr>
          <w:color w:val="000000" w:themeColor="text1"/>
        </w:rPr>
        <w:t>7.2 Writing as Symbolic Codification</w:t>
      </w:r>
    </w:p>
    <w:p w14:paraId="575E2DE8" w14:textId="77777777" w:rsidR="00C96F90" w:rsidRPr="00DF03CE" w:rsidRDefault="00000000">
      <w:pPr>
        <w:spacing w:before="80" w:after="120"/>
        <w:jc w:val="both"/>
        <w:rPr>
          <w:color w:val="000000" w:themeColor="text1"/>
        </w:rPr>
      </w:pPr>
      <w:r w:rsidRPr="00DF03CE">
        <w:rPr>
          <w:color w:val="000000" w:themeColor="text1"/>
        </w:rPr>
        <w:t>The emergence of writing (~3,200–3,000 BCE in Egypt and Mesopotamia) represents codification of pre-existing symbolic cognition, not its origin.</w:t>
      </w:r>
      <w:r w:rsidRPr="00DF03CE">
        <w:rPr>
          <w:rStyle w:val="FootnoteReference"/>
          <w:color w:val="000000" w:themeColor="text1"/>
        </w:rPr>
        <w:footnoteReference w:id="44"/>
      </w:r>
      <w:r w:rsidRPr="00DF03CE">
        <w:rPr>
          <w:color w:val="000000" w:themeColor="text1"/>
          <w:vertAlign w:val="superscript"/>
        </w:rPr>
        <w:t>,</w:t>
      </w:r>
      <w:r w:rsidRPr="00DF03CE">
        <w:rPr>
          <w:rStyle w:val="FootnoteReference"/>
          <w:color w:val="000000" w:themeColor="text1"/>
        </w:rPr>
        <w:footnoteReference w:id="45"/>
      </w:r>
      <w:r w:rsidRPr="00DF03CE">
        <w:rPr>
          <w:color w:val="000000" w:themeColor="text1"/>
          <w:vertAlign w:val="superscript"/>
        </w:rPr>
        <w:t>,</w:t>
      </w:r>
      <w:r w:rsidRPr="00DF03CE">
        <w:rPr>
          <w:rStyle w:val="FootnoteReference"/>
          <w:color w:val="000000" w:themeColor="text1"/>
        </w:rPr>
        <w:footnoteReference w:id="46"/>
      </w:r>
      <w:r w:rsidRPr="00DF03CE">
        <w:rPr>
          <w:color w:val="000000" w:themeColor="text1"/>
        </w:rPr>
        <w:t xml:space="preserve"> Perishable early writing may have existed and not survived. Writing externalizes and formalizes knowledge maintained orally and ritually for thousands of years prior. The apparent suddenness of writing's appearance in the archaeological record reflects preservation bias — stone and clay survive; wood, hide, and cord do not. Monumentality and writing are late-stage externalizations of pre-existing symbolic load. Technologies, in this frame, are fossilized rituals.</w:t>
      </w:r>
    </w:p>
    <w:p w14:paraId="5314038F" w14:textId="77777777" w:rsidR="00C96F90" w:rsidRPr="00DF03CE" w:rsidRDefault="00000000">
      <w:pPr>
        <w:pStyle w:val="Heading1"/>
        <w:rPr>
          <w:color w:val="000000" w:themeColor="text1"/>
        </w:rPr>
      </w:pPr>
      <w:r w:rsidRPr="00DF03CE">
        <w:rPr>
          <w:color w:val="000000" w:themeColor="text1"/>
        </w:rPr>
        <w:t>8. Methodological Framework: Field Companion Protocol</w:t>
      </w:r>
    </w:p>
    <w:p w14:paraId="41D95C77" w14:textId="77777777" w:rsidR="00C96F90" w:rsidRPr="00DF03CE" w:rsidRDefault="00000000">
      <w:pPr>
        <w:pStyle w:val="Heading2"/>
        <w:rPr>
          <w:color w:val="000000" w:themeColor="text1"/>
        </w:rPr>
      </w:pPr>
      <w:r w:rsidRPr="00DF03CE">
        <w:rPr>
          <w:color w:val="000000" w:themeColor="text1"/>
        </w:rPr>
        <w:t>8.1 Protocol Overview</w:t>
      </w:r>
    </w:p>
    <w:p w14:paraId="4ABD2110" w14:textId="77777777" w:rsidR="00C96F90" w:rsidRPr="00DF03CE" w:rsidRDefault="00000000">
      <w:pPr>
        <w:spacing w:before="80" w:after="120"/>
        <w:jc w:val="both"/>
        <w:rPr>
          <w:color w:val="000000" w:themeColor="text1"/>
        </w:rPr>
      </w:pPr>
      <w:r w:rsidRPr="00DF03CE">
        <w:rPr>
          <w:color w:val="000000" w:themeColor="text1"/>
        </w:rPr>
        <w:t>The Field Companion Protocol (FCP) provides a reproducible scoring rubric for applying DSSM criteria to archaeological sites and comparative cases.</w:t>
      </w:r>
      <w:r w:rsidRPr="00DF03CE">
        <w:rPr>
          <w:rStyle w:val="FootnoteReference"/>
          <w:color w:val="000000" w:themeColor="text1"/>
        </w:rPr>
        <w:footnoteReference w:id="47"/>
      </w:r>
      <w:r w:rsidRPr="00DF03CE">
        <w:rPr>
          <w:color w:val="000000" w:themeColor="text1"/>
        </w:rPr>
        <w:t xml:space="preserve"> The FCP scores Evidence Strength (E) and Symbolic Specificity (S) independently on a 0–2 scale for each of six observables. The final composite score for each observable is </w:t>
      </w:r>
      <w:proofErr w:type="gramStart"/>
      <w:r w:rsidRPr="00DF03CE">
        <w:rPr>
          <w:color w:val="000000" w:themeColor="text1"/>
        </w:rPr>
        <w:t>min(</w:t>
      </w:r>
      <w:proofErr w:type="gramEnd"/>
      <w:r w:rsidRPr="00DF03CE">
        <w:rPr>
          <w:color w:val="000000" w:themeColor="text1"/>
        </w:rPr>
        <w:t>E, S), preventing high symbolic specificity claims from outrunning evidentiary support.</w:t>
      </w:r>
    </w:p>
    <w:p w14:paraId="54AA48DD" w14:textId="77777777" w:rsidR="00C96F90" w:rsidRPr="00DF03CE" w:rsidRDefault="00C96F90">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C96F90" w:rsidRPr="00DF03CE" w14:paraId="681EF3E9"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BA2F43" w14:textId="77777777" w:rsidR="00C96F90" w:rsidRPr="00DF03CE" w:rsidRDefault="00000000" w:rsidP="00DF03CE">
            <w:pPr>
              <w:rPr>
                <w:color w:val="000000" w:themeColor="text1"/>
              </w:rPr>
            </w:pPr>
            <w:r w:rsidRPr="00DF03CE">
              <w:rPr>
                <w:b/>
                <w:bCs/>
                <w:color w:val="000000" w:themeColor="text1"/>
                <w:sz w:val="20"/>
                <w:szCs w:val="20"/>
              </w:rPr>
              <w:t>Observable</w:t>
            </w:r>
          </w:p>
        </w:tc>
        <w:tc>
          <w:tcPr>
            <w:tcW w:w="6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38B3E32C" w14:textId="77777777" w:rsidR="00C96F90" w:rsidRPr="00DF03CE" w:rsidRDefault="00000000" w:rsidP="00DF03CE">
            <w:pPr>
              <w:jc w:val="center"/>
              <w:rPr>
                <w:color w:val="000000" w:themeColor="text1"/>
              </w:rPr>
            </w:pPr>
            <w:r w:rsidRPr="00DF03CE">
              <w:rPr>
                <w:b/>
                <w:bCs/>
                <w:color w:val="000000" w:themeColor="text1"/>
                <w:sz w:val="20"/>
                <w:szCs w:val="20"/>
              </w:rPr>
              <w:t>Operational Description</w:t>
            </w:r>
          </w:p>
        </w:tc>
      </w:tr>
      <w:tr w:rsidR="00C96F90" w:rsidRPr="00DF03CE" w14:paraId="36B3FDB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06802530" w14:textId="77777777" w:rsidR="00C96F90" w:rsidRPr="00DF03CE" w:rsidRDefault="00000000" w:rsidP="00DF03CE">
            <w:pPr>
              <w:rPr>
                <w:color w:val="000000" w:themeColor="text1"/>
              </w:rPr>
            </w:pPr>
            <w:r w:rsidRPr="00DF03CE">
              <w:rPr>
                <w:b/>
                <w:bCs/>
                <w:color w:val="000000" w:themeColor="text1"/>
                <w:sz w:val="19"/>
                <w:szCs w:val="19"/>
              </w:rPr>
              <w:t>Mnemonic Architectures (MA)</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D1F595B" w14:textId="77777777" w:rsidR="00C96F90" w:rsidRPr="00DF03CE" w:rsidRDefault="00000000" w:rsidP="00DF03CE">
            <w:pPr>
              <w:jc w:val="center"/>
              <w:rPr>
                <w:color w:val="000000" w:themeColor="text1"/>
              </w:rPr>
            </w:pPr>
            <w:r w:rsidRPr="00DF03CE">
              <w:rPr>
                <w:color w:val="000000" w:themeColor="text1"/>
                <w:sz w:val="19"/>
                <w:szCs w:val="19"/>
              </w:rPr>
              <w:t>Spatially encoded structures that preserve and transmit cosmological or ritual knowledge across generations without writing</w:t>
            </w:r>
          </w:p>
        </w:tc>
      </w:tr>
      <w:tr w:rsidR="00C96F90" w:rsidRPr="00DF03CE" w14:paraId="35A14BB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3219CA92" w14:textId="77777777" w:rsidR="00C96F90" w:rsidRPr="00DF03CE" w:rsidRDefault="00000000" w:rsidP="00DF03CE">
            <w:pPr>
              <w:rPr>
                <w:color w:val="000000" w:themeColor="text1"/>
              </w:rPr>
            </w:pPr>
            <w:r w:rsidRPr="00DF03CE">
              <w:rPr>
                <w:b/>
                <w:bCs/>
                <w:color w:val="000000" w:themeColor="text1"/>
                <w:sz w:val="19"/>
                <w:szCs w:val="19"/>
              </w:rPr>
              <w:t>Symbolic Stabilization (SS)</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27D2280" w14:textId="77777777" w:rsidR="00C96F90" w:rsidRPr="00DF03CE" w:rsidRDefault="00000000" w:rsidP="00DF03CE">
            <w:pPr>
              <w:jc w:val="center"/>
              <w:rPr>
                <w:color w:val="000000" w:themeColor="text1"/>
              </w:rPr>
            </w:pPr>
            <w:r w:rsidRPr="00DF03CE">
              <w:rPr>
                <w:color w:val="000000" w:themeColor="text1"/>
                <w:sz w:val="19"/>
                <w:szCs w:val="19"/>
              </w:rPr>
              <w:t>Recurrence of the same symbolic forms across time, sites, and media — evidence of constraint rather than improvisation</w:t>
            </w:r>
          </w:p>
        </w:tc>
      </w:tr>
      <w:tr w:rsidR="00C96F90" w:rsidRPr="00DF03CE" w14:paraId="34D6821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07E25C56" w14:textId="77777777" w:rsidR="00C96F90" w:rsidRPr="00DF03CE" w:rsidRDefault="00000000" w:rsidP="00DF03CE">
            <w:pPr>
              <w:rPr>
                <w:color w:val="000000" w:themeColor="text1"/>
              </w:rPr>
            </w:pPr>
            <w:r w:rsidRPr="00DF03CE">
              <w:rPr>
                <w:b/>
                <w:bCs/>
                <w:color w:val="000000" w:themeColor="text1"/>
                <w:sz w:val="19"/>
                <w:szCs w:val="19"/>
              </w:rPr>
              <w:t>Externalized Cognition (EC)</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1FD1335" w14:textId="77777777" w:rsidR="00C96F90" w:rsidRPr="00DF03CE" w:rsidRDefault="00000000" w:rsidP="00DF03CE">
            <w:pPr>
              <w:jc w:val="center"/>
              <w:rPr>
                <w:color w:val="000000" w:themeColor="text1"/>
              </w:rPr>
            </w:pPr>
            <w:r w:rsidRPr="00DF03CE">
              <w:rPr>
                <w:color w:val="000000" w:themeColor="text1"/>
                <w:sz w:val="19"/>
                <w:szCs w:val="19"/>
              </w:rPr>
              <w:t>Transfer of cognitive load (memory, coordination, social roles) into material or spatial substrates</w:t>
            </w:r>
          </w:p>
        </w:tc>
      </w:tr>
      <w:tr w:rsidR="00C96F90" w:rsidRPr="00DF03CE" w14:paraId="4134A41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2448874A" w14:textId="77777777" w:rsidR="00C96F90" w:rsidRPr="00DF03CE" w:rsidRDefault="00000000" w:rsidP="00DF03CE">
            <w:pPr>
              <w:rPr>
                <w:color w:val="000000" w:themeColor="text1"/>
              </w:rPr>
            </w:pPr>
            <w:r w:rsidRPr="00DF03CE">
              <w:rPr>
                <w:b/>
                <w:bCs/>
                <w:color w:val="000000" w:themeColor="text1"/>
                <w:sz w:val="19"/>
                <w:szCs w:val="19"/>
              </w:rPr>
              <w:t>Symbolic Regulation (SR)</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D7AF5CE" w14:textId="77777777" w:rsidR="00C96F90" w:rsidRPr="00DF03CE" w:rsidRDefault="00000000" w:rsidP="00DF03CE">
            <w:pPr>
              <w:jc w:val="center"/>
              <w:rPr>
                <w:color w:val="000000" w:themeColor="text1"/>
              </w:rPr>
            </w:pPr>
            <w:r w:rsidRPr="00DF03CE">
              <w:rPr>
                <w:color w:val="000000" w:themeColor="text1"/>
                <w:sz w:val="19"/>
                <w:szCs w:val="19"/>
              </w:rPr>
              <w:t>Use of symbolic systems to enforce behavioral norms, distribute authority, or manage collective action</w:t>
            </w:r>
          </w:p>
        </w:tc>
      </w:tr>
      <w:tr w:rsidR="00C96F90" w:rsidRPr="00DF03CE" w14:paraId="3D00C99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1B8818C5" w14:textId="77777777" w:rsidR="00C96F90" w:rsidRPr="00DF03CE" w:rsidRDefault="00000000" w:rsidP="00DF03CE">
            <w:pPr>
              <w:rPr>
                <w:color w:val="000000" w:themeColor="text1"/>
              </w:rPr>
            </w:pPr>
            <w:r w:rsidRPr="00DF03CE">
              <w:rPr>
                <w:b/>
                <w:bCs/>
                <w:color w:val="000000" w:themeColor="text1"/>
                <w:sz w:val="19"/>
                <w:szCs w:val="19"/>
              </w:rPr>
              <w:t>Distributed Symbolic Authority (DSA)</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F2AEE32" w14:textId="77777777" w:rsidR="00C96F90" w:rsidRPr="00DF03CE" w:rsidRDefault="00000000" w:rsidP="00DF03CE">
            <w:pPr>
              <w:jc w:val="center"/>
              <w:rPr>
                <w:color w:val="000000" w:themeColor="text1"/>
              </w:rPr>
            </w:pPr>
            <w:r w:rsidRPr="00DF03CE">
              <w:rPr>
                <w:color w:val="000000" w:themeColor="text1"/>
                <w:sz w:val="19"/>
                <w:szCs w:val="19"/>
              </w:rPr>
              <w:t>Evidence that symbolic competence was socially distributed, not monopolized by a single individual or group</w:t>
            </w:r>
          </w:p>
        </w:tc>
      </w:tr>
      <w:tr w:rsidR="00C96F90" w:rsidRPr="00DF03CE" w14:paraId="3C5E8DA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624235AA" w14:textId="77777777" w:rsidR="00C96F90" w:rsidRPr="00DF03CE" w:rsidRDefault="00000000" w:rsidP="00DF03CE">
            <w:pPr>
              <w:rPr>
                <w:color w:val="000000" w:themeColor="text1"/>
              </w:rPr>
            </w:pPr>
            <w:r w:rsidRPr="00DF03CE">
              <w:rPr>
                <w:b/>
                <w:bCs/>
                <w:color w:val="000000" w:themeColor="text1"/>
                <w:sz w:val="19"/>
                <w:szCs w:val="19"/>
              </w:rPr>
              <w:t>Portable Symbolic Anchors (PSA)</w:t>
            </w:r>
          </w:p>
        </w:tc>
        <w:tc>
          <w:tcPr>
            <w:tcW w:w="65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111A11D" w14:textId="77777777" w:rsidR="00C96F90" w:rsidRPr="00DF03CE" w:rsidRDefault="00000000" w:rsidP="00DF03CE">
            <w:pPr>
              <w:jc w:val="center"/>
              <w:rPr>
                <w:color w:val="000000" w:themeColor="text1"/>
              </w:rPr>
            </w:pPr>
            <w:r w:rsidRPr="00DF03CE">
              <w:rPr>
                <w:color w:val="000000" w:themeColor="text1"/>
                <w:sz w:val="19"/>
                <w:szCs w:val="19"/>
              </w:rPr>
              <w:t>Miniaturized or mobile versions of core symbolic content — enabling transmission across spatial distance</w:t>
            </w:r>
          </w:p>
        </w:tc>
      </w:tr>
    </w:tbl>
    <w:p w14:paraId="126D41BF" w14:textId="77777777" w:rsidR="00C96F90" w:rsidRPr="00DF03CE" w:rsidRDefault="00C96F90">
      <w:pPr>
        <w:spacing w:before="120" w:after="80"/>
        <w:rPr>
          <w:color w:val="000000" w:themeColor="text1"/>
        </w:rPr>
      </w:pPr>
    </w:p>
    <w:p w14:paraId="047FFC74" w14:textId="77777777" w:rsidR="00C96F90" w:rsidRPr="00DF03CE" w:rsidRDefault="00000000">
      <w:pPr>
        <w:pStyle w:val="Heading2"/>
        <w:rPr>
          <w:color w:val="000000" w:themeColor="text1"/>
        </w:rPr>
      </w:pPr>
      <w:r w:rsidRPr="00DF03CE">
        <w:rPr>
          <w:color w:val="000000" w:themeColor="text1"/>
        </w:rPr>
        <w:t>8.2 Scoring Rules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96F90" w:rsidRPr="00DF03CE" w14:paraId="244538E3" w14:textId="77777777">
        <w:tblPrEx>
          <w:tblCellMar>
            <w:top w:w="0" w:type="dxa"/>
            <w:bottom w:w="0" w:type="dxa"/>
          </w:tblCellMar>
        </w:tblPrEx>
        <w:tc>
          <w:tcPr>
            <w:tcW w:w="0" w:type="auto"/>
            <w:tcBorders>
              <w:top w:val="single" w:sz="6" w:space="0" w:color="2E5FA3"/>
              <w:left w:val="single" w:sz="6" w:space="0" w:color="2E5FA3"/>
              <w:bottom w:val="single" w:sz="6" w:space="0" w:color="2E5FA3"/>
              <w:right w:val="single" w:sz="6" w:space="0" w:color="2E5FA3"/>
            </w:tcBorders>
            <w:shd w:val="clear" w:color="auto" w:fill="EEF2F7"/>
            <w:tcMar>
              <w:top w:w="120" w:type="dxa"/>
              <w:left w:w="180" w:type="dxa"/>
              <w:bottom w:w="120" w:type="dxa"/>
              <w:right w:w="180" w:type="dxa"/>
            </w:tcMar>
          </w:tcPr>
          <w:p w14:paraId="3D04AD3B" w14:textId="77777777" w:rsidR="00C96F90" w:rsidRPr="00DF03CE" w:rsidRDefault="00000000">
            <w:pPr>
              <w:spacing w:before="60" w:after="40"/>
              <w:rPr>
                <w:color w:val="000000" w:themeColor="text1"/>
              </w:rPr>
            </w:pPr>
            <w:r w:rsidRPr="00DF03CE">
              <w:rPr>
                <w:b/>
                <w:bCs/>
                <w:color w:val="000000" w:themeColor="text1"/>
              </w:rPr>
              <w:t>Scoring Scale (per observable):</w:t>
            </w:r>
          </w:p>
          <w:p w14:paraId="77768806" w14:textId="77777777" w:rsidR="00C96F90" w:rsidRPr="00DF03CE" w:rsidRDefault="00000000">
            <w:pPr>
              <w:spacing w:before="20" w:after="20"/>
              <w:rPr>
                <w:color w:val="000000" w:themeColor="text1"/>
              </w:rPr>
            </w:pPr>
            <w:r w:rsidRPr="00DF03CE">
              <w:rPr>
                <w:color w:val="000000" w:themeColor="text1"/>
                <w:sz w:val="21"/>
                <w:szCs w:val="21"/>
              </w:rPr>
              <w:t xml:space="preserve">0 = Absent or </w:t>
            </w:r>
            <w:proofErr w:type="gramStart"/>
            <w:r w:rsidRPr="00DF03CE">
              <w:rPr>
                <w:color w:val="000000" w:themeColor="text1"/>
                <w:sz w:val="21"/>
                <w:szCs w:val="21"/>
              </w:rPr>
              <w:t>undetectable  |</w:t>
            </w:r>
            <w:proofErr w:type="gramEnd"/>
            <w:r w:rsidRPr="00DF03CE">
              <w:rPr>
                <w:color w:val="000000" w:themeColor="text1"/>
                <w:sz w:val="21"/>
                <w:szCs w:val="21"/>
              </w:rPr>
              <w:t xml:space="preserve">  1 = Present but partial or </w:t>
            </w:r>
            <w:proofErr w:type="gramStart"/>
            <w:r w:rsidRPr="00DF03CE">
              <w:rPr>
                <w:color w:val="000000" w:themeColor="text1"/>
                <w:sz w:val="21"/>
                <w:szCs w:val="21"/>
              </w:rPr>
              <w:t>contested  |</w:t>
            </w:r>
            <w:proofErr w:type="gramEnd"/>
            <w:r w:rsidRPr="00DF03CE">
              <w:rPr>
                <w:color w:val="000000" w:themeColor="text1"/>
                <w:sz w:val="21"/>
                <w:szCs w:val="21"/>
              </w:rPr>
              <w:t xml:space="preserve">  2 = Clearly present and well-evidenced</w:t>
            </w:r>
          </w:p>
          <w:p w14:paraId="194D34FC" w14:textId="77777777" w:rsidR="00C96F90" w:rsidRPr="00DF03CE" w:rsidRDefault="00000000">
            <w:pPr>
              <w:spacing w:before="40" w:after="20"/>
              <w:rPr>
                <w:color w:val="000000" w:themeColor="text1"/>
              </w:rPr>
            </w:pPr>
            <w:r w:rsidRPr="00DF03CE">
              <w:rPr>
                <w:b/>
                <w:bCs/>
                <w:color w:val="000000" w:themeColor="text1"/>
              </w:rPr>
              <w:t xml:space="preserve">Final score per observable = </w:t>
            </w:r>
            <w:proofErr w:type="gramStart"/>
            <w:r w:rsidRPr="00DF03CE">
              <w:rPr>
                <w:b/>
                <w:bCs/>
                <w:color w:val="000000" w:themeColor="text1"/>
              </w:rPr>
              <w:t>min(</w:t>
            </w:r>
            <w:proofErr w:type="gramEnd"/>
            <w:r w:rsidRPr="00DF03CE">
              <w:rPr>
                <w:b/>
                <w:bCs/>
                <w:color w:val="000000" w:themeColor="text1"/>
              </w:rPr>
              <w:t>Evidence Strength, Symbolic Specificity)</w:t>
            </w:r>
          </w:p>
          <w:p w14:paraId="41F6631D" w14:textId="77777777" w:rsidR="00C96F90" w:rsidRPr="00DF03CE" w:rsidRDefault="00000000">
            <w:pPr>
              <w:spacing w:before="20" w:after="40"/>
              <w:rPr>
                <w:color w:val="000000" w:themeColor="text1"/>
              </w:rPr>
            </w:pPr>
            <w:r w:rsidRPr="00DF03CE">
              <w:rPr>
                <w:color w:val="000000" w:themeColor="text1"/>
                <w:sz w:val="21"/>
                <w:szCs w:val="21"/>
              </w:rPr>
              <w:t>Maximum composite score = 12 (6 observables × 2). Saturation threshold: ≥7/8 with no observable at 0.</w:t>
            </w:r>
          </w:p>
        </w:tc>
      </w:tr>
    </w:tbl>
    <w:p w14:paraId="0EA41EC8" w14:textId="77777777" w:rsidR="00C96F90" w:rsidRPr="00DF03CE" w:rsidRDefault="00C96F90">
      <w:pPr>
        <w:spacing w:before="120" w:after="80"/>
        <w:rPr>
          <w:color w:val="000000" w:themeColor="text1"/>
        </w:rPr>
      </w:pPr>
    </w:p>
    <w:p w14:paraId="493D889E" w14:textId="77777777" w:rsidR="00C96F90" w:rsidRPr="00DF03CE" w:rsidRDefault="00000000">
      <w:pPr>
        <w:pStyle w:val="Heading2"/>
        <w:rPr>
          <w:color w:val="000000" w:themeColor="text1"/>
        </w:rPr>
      </w:pPr>
      <w:r w:rsidRPr="00DF03CE">
        <w:rPr>
          <w:color w:val="000000" w:themeColor="text1"/>
        </w:rPr>
        <w:t>8.3 Methodology</w:t>
      </w:r>
    </w:p>
    <w:p w14:paraId="58AEE472" w14:textId="77777777" w:rsidR="00C96F90" w:rsidRPr="00DF03CE" w:rsidRDefault="00000000">
      <w:pPr>
        <w:spacing w:before="80" w:after="120"/>
        <w:jc w:val="both"/>
        <w:rPr>
          <w:color w:val="000000" w:themeColor="text1"/>
        </w:rPr>
      </w:pPr>
      <w:r w:rsidRPr="00DF03CE">
        <w:rPr>
          <w:color w:val="000000" w:themeColor="text1"/>
        </w:rPr>
        <w:t>DSSM employs a comparative, interdisciplinary methodology integrating archaeological pattern analysis, cognitive anthropology, comparative symbolic analysis, and continuity criteria.</w:t>
      </w:r>
      <w:r w:rsidRPr="00DF03CE">
        <w:rPr>
          <w:rStyle w:val="FootnoteReference"/>
          <w:color w:val="000000" w:themeColor="text1"/>
        </w:rPr>
        <w:footnoteReference w:id="48"/>
      </w:r>
      <w:r w:rsidRPr="00DF03CE">
        <w:rPr>
          <w:color w:val="000000" w:themeColor="text1"/>
          <w:vertAlign w:val="superscript"/>
        </w:rPr>
        <w:t>,</w:t>
      </w:r>
      <w:r w:rsidRPr="00DF03CE">
        <w:rPr>
          <w:rStyle w:val="FootnoteReference"/>
          <w:color w:val="000000" w:themeColor="text1"/>
        </w:rPr>
        <w:footnoteReference w:id="49"/>
      </w:r>
      <w:r w:rsidRPr="00DF03CE">
        <w:rPr>
          <w:color w:val="000000" w:themeColor="text1"/>
        </w:rPr>
        <w:t xml:space="preserve"> This framework constrains inference, remains empirically grounded, and generates testable hypotheses subject to revision as new field data emerges. Interpretations operate at multiple confidence levels: high-confidence claims reference recurrent and independently verified patterns; medium-confidence claims draw on anthropological analogy; low-confidence claims address specific content of early belief systems — where DSSM makes structural, not content, claims.</w:t>
      </w:r>
    </w:p>
    <w:p w14:paraId="487EDB74" w14:textId="77777777" w:rsidR="00C96F90" w:rsidRPr="00DF03CE" w:rsidRDefault="00000000">
      <w:pPr>
        <w:pStyle w:val="Heading1"/>
        <w:rPr>
          <w:color w:val="000000" w:themeColor="text1"/>
        </w:rPr>
      </w:pPr>
      <w:r w:rsidRPr="00DF03CE">
        <w:rPr>
          <w:color w:val="000000" w:themeColor="text1"/>
        </w:rPr>
        <w:t>9. Archaeological Evidence: Deep-Time Perspective</w:t>
      </w:r>
    </w:p>
    <w:p w14:paraId="45B5DC83" w14:textId="77777777" w:rsidR="00C96F90" w:rsidRPr="00DF03CE" w:rsidRDefault="00000000">
      <w:pPr>
        <w:pStyle w:val="Heading2"/>
        <w:rPr>
          <w:color w:val="000000" w:themeColor="text1"/>
        </w:rPr>
      </w:pPr>
      <w:r w:rsidRPr="00DF03CE">
        <w:rPr>
          <w:color w:val="000000" w:themeColor="text1"/>
        </w:rPr>
        <w:t>9.1 Chronological Overview (300,000–9,600 BCE)</w:t>
      </w:r>
    </w:p>
    <w:p w14:paraId="6CD97297" w14:textId="77777777" w:rsidR="00C96F90" w:rsidRPr="00DF03CE" w:rsidRDefault="00C96F90">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C96F90" w:rsidRPr="00DF03CE" w14:paraId="2251BEE9"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D0E055C" w14:textId="77777777" w:rsidR="00C96F90" w:rsidRPr="00DF03CE" w:rsidRDefault="00000000" w:rsidP="00DF03CE">
            <w:pPr>
              <w:jc w:val="both"/>
              <w:rPr>
                <w:color w:val="000000" w:themeColor="text1"/>
              </w:rPr>
            </w:pPr>
            <w:r w:rsidRPr="00DF03CE">
              <w:rPr>
                <w:b/>
                <w:bCs/>
                <w:color w:val="000000" w:themeColor="text1"/>
                <w:sz w:val="20"/>
                <w:szCs w:val="20"/>
              </w:rPr>
              <w:t>Period</w:t>
            </w:r>
          </w:p>
        </w:tc>
        <w:tc>
          <w:tcPr>
            <w:tcW w:w="69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DF09A06" w14:textId="77777777" w:rsidR="00C96F90" w:rsidRPr="00DF03CE" w:rsidRDefault="00000000" w:rsidP="00DF03CE">
            <w:pPr>
              <w:jc w:val="center"/>
              <w:rPr>
                <w:color w:val="000000" w:themeColor="text1"/>
              </w:rPr>
            </w:pPr>
            <w:r w:rsidRPr="00DF03CE">
              <w:rPr>
                <w:b/>
                <w:bCs/>
                <w:color w:val="000000" w:themeColor="text1"/>
                <w:sz w:val="20"/>
                <w:szCs w:val="20"/>
              </w:rPr>
              <w:t>Key Symbolic Developments</w:t>
            </w:r>
          </w:p>
        </w:tc>
      </w:tr>
      <w:tr w:rsidR="00C96F90" w:rsidRPr="00DF03CE" w14:paraId="023E809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3515A53F" w14:textId="77777777" w:rsidR="00C96F90" w:rsidRPr="00DF03CE" w:rsidRDefault="00000000" w:rsidP="00DF03CE">
            <w:pPr>
              <w:jc w:val="both"/>
              <w:rPr>
                <w:color w:val="000000" w:themeColor="text1"/>
              </w:rPr>
            </w:pPr>
            <w:r w:rsidRPr="00DF03CE">
              <w:rPr>
                <w:b/>
                <w:bCs/>
                <w:color w:val="000000" w:themeColor="text1"/>
                <w:sz w:val="19"/>
                <w:szCs w:val="19"/>
              </w:rPr>
              <w:t>300,000–250,000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A7128FF" w14:textId="77777777" w:rsidR="00C96F90" w:rsidRPr="00DF03CE" w:rsidRDefault="00000000" w:rsidP="00DF03CE">
            <w:pPr>
              <w:jc w:val="center"/>
              <w:rPr>
                <w:color w:val="000000" w:themeColor="text1"/>
              </w:rPr>
            </w:pPr>
            <w:r w:rsidRPr="00DF03CE">
              <w:rPr>
                <w:color w:val="000000" w:themeColor="text1"/>
                <w:sz w:val="19"/>
                <w:szCs w:val="19"/>
              </w:rPr>
              <w:t>Modern brain volume; ochre use; fire; group coordination (Morocco, Kenya, South Africa)</w:t>
            </w:r>
          </w:p>
        </w:tc>
      </w:tr>
      <w:tr w:rsidR="00C96F90" w:rsidRPr="00DF03CE" w14:paraId="10FBAC4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32D75B40" w14:textId="77777777" w:rsidR="00C96F90" w:rsidRPr="00DF03CE" w:rsidRDefault="00000000" w:rsidP="00DF03CE">
            <w:pPr>
              <w:jc w:val="both"/>
              <w:rPr>
                <w:color w:val="000000" w:themeColor="text1"/>
              </w:rPr>
            </w:pPr>
            <w:r w:rsidRPr="00DF03CE">
              <w:rPr>
                <w:b/>
                <w:bCs/>
                <w:color w:val="000000" w:themeColor="text1"/>
                <w:sz w:val="19"/>
                <w:szCs w:val="19"/>
              </w:rPr>
              <w:t>250,000–200,000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AD4638C" w14:textId="77777777" w:rsidR="00C96F90" w:rsidRPr="00DF03CE" w:rsidRDefault="00000000" w:rsidP="00DF03CE">
            <w:pPr>
              <w:jc w:val="center"/>
              <w:rPr>
                <w:color w:val="000000" w:themeColor="text1"/>
              </w:rPr>
            </w:pPr>
            <w:r w:rsidRPr="00DF03CE">
              <w:rPr>
                <w:color w:val="000000" w:themeColor="text1"/>
                <w:sz w:val="19"/>
                <w:szCs w:val="19"/>
              </w:rPr>
              <w:t>African dispersals; recurrent ochre use indicates proto-symbolic cognition</w:t>
            </w:r>
          </w:p>
        </w:tc>
      </w:tr>
      <w:tr w:rsidR="00C96F90" w:rsidRPr="00DF03CE" w14:paraId="44DDC92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220DF9E4" w14:textId="77777777" w:rsidR="00C96F90" w:rsidRPr="00DF03CE" w:rsidRDefault="00000000" w:rsidP="00DF03CE">
            <w:pPr>
              <w:jc w:val="both"/>
              <w:rPr>
                <w:color w:val="000000" w:themeColor="text1"/>
              </w:rPr>
            </w:pPr>
            <w:r w:rsidRPr="00DF03CE">
              <w:rPr>
                <w:b/>
                <w:bCs/>
                <w:color w:val="000000" w:themeColor="text1"/>
                <w:sz w:val="19"/>
                <w:szCs w:val="19"/>
              </w:rPr>
              <w:t>200,000–150,000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D38533B" w14:textId="77777777" w:rsidR="00C96F90" w:rsidRPr="00DF03CE" w:rsidRDefault="00000000" w:rsidP="00DF03CE">
            <w:pPr>
              <w:jc w:val="center"/>
              <w:rPr>
                <w:color w:val="000000" w:themeColor="text1"/>
              </w:rPr>
            </w:pPr>
            <w:r w:rsidRPr="00DF03CE">
              <w:rPr>
                <w:color w:val="000000" w:themeColor="text1"/>
                <w:sz w:val="19"/>
                <w:szCs w:val="19"/>
              </w:rPr>
              <w:t>Upper Egypt (</w:t>
            </w:r>
            <w:proofErr w:type="spellStart"/>
            <w:r w:rsidRPr="00DF03CE">
              <w:rPr>
                <w:color w:val="000000" w:themeColor="text1"/>
                <w:sz w:val="19"/>
                <w:szCs w:val="19"/>
              </w:rPr>
              <w:t>Taramsa</w:t>
            </w:r>
            <w:proofErr w:type="spellEnd"/>
            <w:r w:rsidRPr="00DF03CE">
              <w:rPr>
                <w:color w:val="000000" w:themeColor="text1"/>
                <w:sz w:val="19"/>
                <w:szCs w:val="19"/>
              </w:rPr>
              <w:t xml:space="preserve"> Hill); early quarrying and deliberate material selection</w:t>
            </w:r>
          </w:p>
        </w:tc>
      </w:tr>
      <w:tr w:rsidR="00C96F90" w:rsidRPr="00DF03CE" w14:paraId="6EF3DC0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0B7A213B" w14:textId="77777777" w:rsidR="00C96F90" w:rsidRPr="00DF03CE" w:rsidRDefault="00000000" w:rsidP="00DF03CE">
            <w:pPr>
              <w:jc w:val="both"/>
              <w:rPr>
                <w:color w:val="000000" w:themeColor="text1"/>
              </w:rPr>
            </w:pPr>
            <w:r w:rsidRPr="00DF03CE">
              <w:rPr>
                <w:b/>
                <w:bCs/>
                <w:color w:val="000000" w:themeColor="text1"/>
                <w:sz w:val="19"/>
                <w:szCs w:val="19"/>
              </w:rPr>
              <w:t>160,000–130,000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7597BEB" w14:textId="77777777" w:rsidR="00C96F90" w:rsidRPr="00DF03CE" w:rsidRDefault="00000000" w:rsidP="00DF03CE">
            <w:pPr>
              <w:jc w:val="center"/>
              <w:rPr>
                <w:color w:val="000000" w:themeColor="text1"/>
              </w:rPr>
            </w:pPr>
            <w:r w:rsidRPr="00DF03CE">
              <w:rPr>
                <w:color w:val="000000" w:themeColor="text1"/>
                <w:sz w:val="19"/>
                <w:szCs w:val="19"/>
              </w:rPr>
              <w:t>Aridification drives migration; intergroup cultural exchange intensifies</w:t>
            </w:r>
          </w:p>
        </w:tc>
      </w:tr>
      <w:tr w:rsidR="00C96F90" w:rsidRPr="00DF03CE" w14:paraId="2B3747C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1C4C1950" w14:textId="77777777" w:rsidR="00C96F90" w:rsidRPr="00DF03CE" w:rsidRDefault="00000000" w:rsidP="00DF03CE">
            <w:pPr>
              <w:jc w:val="both"/>
              <w:rPr>
                <w:color w:val="000000" w:themeColor="text1"/>
              </w:rPr>
            </w:pPr>
            <w:r w:rsidRPr="00DF03CE">
              <w:rPr>
                <w:b/>
                <w:bCs/>
                <w:color w:val="000000" w:themeColor="text1"/>
                <w:sz w:val="19"/>
                <w:szCs w:val="19"/>
              </w:rPr>
              <w:t>100,000–70,000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E73CAC9" w14:textId="77777777" w:rsidR="00C96F90" w:rsidRPr="00DF03CE" w:rsidRDefault="00000000" w:rsidP="00DF03CE">
            <w:pPr>
              <w:jc w:val="center"/>
              <w:rPr>
                <w:color w:val="000000" w:themeColor="text1"/>
              </w:rPr>
            </w:pPr>
            <w:r w:rsidRPr="00DF03CE">
              <w:rPr>
                <w:color w:val="000000" w:themeColor="text1"/>
                <w:sz w:val="19"/>
                <w:szCs w:val="19"/>
              </w:rPr>
              <w:t>Spread across Levant, Sahul, Indus, Nile Valley; symbolic capacity consolidates</w:t>
            </w:r>
          </w:p>
        </w:tc>
      </w:tr>
      <w:tr w:rsidR="00C96F90" w:rsidRPr="00DF03CE" w14:paraId="578DFE3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02C87C93" w14:textId="77777777" w:rsidR="00C96F90" w:rsidRPr="00DF03CE" w:rsidRDefault="00000000" w:rsidP="00DF03CE">
            <w:pPr>
              <w:jc w:val="both"/>
              <w:rPr>
                <w:color w:val="000000" w:themeColor="text1"/>
              </w:rPr>
            </w:pPr>
            <w:r w:rsidRPr="00DF03CE">
              <w:rPr>
                <w:b/>
                <w:bCs/>
                <w:color w:val="000000" w:themeColor="text1"/>
                <w:sz w:val="19"/>
                <w:szCs w:val="19"/>
              </w:rPr>
              <w:t>75,000–51,200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05FD57D" w14:textId="77777777" w:rsidR="00C96F90" w:rsidRPr="00DF03CE" w:rsidRDefault="00000000" w:rsidP="00DF03CE">
            <w:pPr>
              <w:jc w:val="center"/>
              <w:rPr>
                <w:color w:val="000000" w:themeColor="text1"/>
              </w:rPr>
            </w:pPr>
            <w:r w:rsidRPr="00DF03CE">
              <w:rPr>
                <w:color w:val="000000" w:themeColor="text1"/>
                <w:sz w:val="19"/>
                <w:szCs w:val="19"/>
              </w:rPr>
              <w:t>Blombos Cave engraved ochre; Sulawesi figurative art — cross-media redundancy emerges</w:t>
            </w:r>
          </w:p>
        </w:tc>
      </w:tr>
      <w:tr w:rsidR="00C96F90" w:rsidRPr="00DF03CE" w14:paraId="071F3CC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7D5D9036" w14:textId="77777777" w:rsidR="00C96F90" w:rsidRPr="00DF03CE" w:rsidRDefault="00000000" w:rsidP="00DF03CE">
            <w:pPr>
              <w:jc w:val="both"/>
              <w:rPr>
                <w:color w:val="000000" w:themeColor="text1"/>
              </w:rPr>
            </w:pPr>
            <w:r w:rsidRPr="00DF03CE">
              <w:rPr>
                <w:b/>
                <w:bCs/>
                <w:color w:val="000000" w:themeColor="text1"/>
                <w:sz w:val="19"/>
                <w:szCs w:val="19"/>
              </w:rPr>
              <w:t>70,000–40,000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97275D6" w14:textId="77777777" w:rsidR="00C96F90" w:rsidRPr="00DF03CE" w:rsidRDefault="00000000" w:rsidP="00DF03CE">
            <w:pPr>
              <w:jc w:val="center"/>
              <w:rPr>
                <w:color w:val="000000" w:themeColor="text1"/>
              </w:rPr>
            </w:pPr>
            <w:r w:rsidRPr="00DF03CE">
              <w:rPr>
                <w:color w:val="000000" w:themeColor="text1"/>
                <w:sz w:val="19"/>
                <w:szCs w:val="19"/>
              </w:rPr>
              <w:t>Toba eruption; migrations enable shared symbolic memory across dispersal routes</w:t>
            </w:r>
          </w:p>
        </w:tc>
      </w:tr>
      <w:tr w:rsidR="00C96F90" w:rsidRPr="00DF03CE" w14:paraId="493DE12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546B744F" w14:textId="77777777" w:rsidR="00C96F90" w:rsidRPr="00DF03CE" w:rsidRDefault="00000000" w:rsidP="00DF03CE">
            <w:pPr>
              <w:jc w:val="both"/>
              <w:rPr>
                <w:color w:val="000000" w:themeColor="text1"/>
              </w:rPr>
            </w:pPr>
            <w:r w:rsidRPr="00DF03CE">
              <w:rPr>
                <w:b/>
                <w:bCs/>
                <w:color w:val="000000" w:themeColor="text1"/>
                <w:sz w:val="19"/>
                <w:szCs w:val="19"/>
              </w:rPr>
              <w:t>40,000–30,000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959E89F" w14:textId="77777777" w:rsidR="00C96F90" w:rsidRPr="00DF03CE" w:rsidRDefault="00000000" w:rsidP="00DF03CE">
            <w:pPr>
              <w:jc w:val="center"/>
              <w:rPr>
                <w:color w:val="000000" w:themeColor="text1"/>
              </w:rPr>
            </w:pPr>
            <w:r w:rsidRPr="00DF03CE">
              <w:rPr>
                <w:color w:val="000000" w:themeColor="text1"/>
                <w:sz w:val="19"/>
                <w:szCs w:val="19"/>
              </w:rPr>
              <w:t xml:space="preserve">Upper </w:t>
            </w:r>
            <w:proofErr w:type="spellStart"/>
            <w:r w:rsidRPr="00DF03CE">
              <w:rPr>
                <w:color w:val="000000" w:themeColor="text1"/>
                <w:sz w:val="19"/>
                <w:szCs w:val="19"/>
              </w:rPr>
              <w:t>Palaeolithic</w:t>
            </w:r>
            <w:proofErr w:type="spellEnd"/>
            <w:r w:rsidRPr="00DF03CE">
              <w:rPr>
                <w:color w:val="000000" w:themeColor="text1"/>
                <w:sz w:val="19"/>
                <w:szCs w:val="19"/>
              </w:rPr>
              <w:t xml:space="preserve"> expansions; figurative art, ornament, music, ritual burial</w:t>
            </w:r>
          </w:p>
        </w:tc>
      </w:tr>
      <w:tr w:rsidR="00C96F90" w:rsidRPr="00DF03CE" w14:paraId="4DCFD04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65F329EC" w14:textId="77777777" w:rsidR="00C96F90" w:rsidRPr="00DF03CE" w:rsidRDefault="00000000" w:rsidP="00DF03CE">
            <w:pPr>
              <w:jc w:val="both"/>
              <w:rPr>
                <w:color w:val="000000" w:themeColor="text1"/>
              </w:rPr>
            </w:pPr>
            <w:r w:rsidRPr="00DF03CE">
              <w:rPr>
                <w:b/>
                <w:bCs/>
                <w:color w:val="000000" w:themeColor="text1"/>
                <w:sz w:val="19"/>
                <w:szCs w:val="19"/>
              </w:rPr>
              <w:t>30,000–15,000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C9C28A3" w14:textId="77777777" w:rsidR="00C96F90" w:rsidRPr="00DF03CE" w:rsidRDefault="00000000" w:rsidP="00DF03CE">
            <w:pPr>
              <w:jc w:val="center"/>
              <w:rPr>
                <w:color w:val="000000" w:themeColor="text1"/>
              </w:rPr>
            </w:pPr>
            <w:r w:rsidRPr="00DF03CE">
              <w:rPr>
                <w:color w:val="000000" w:themeColor="text1"/>
                <w:sz w:val="19"/>
                <w:szCs w:val="19"/>
              </w:rPr>
              <w:t>Last Glacial Maximum; population contraction; symbolic continuity in refugia</w:t>
            </w:r>
          </w:p>
        </w:tc>
      </w:tr>
      <w:tr w:rsidR="00C96F90" w:rsidRPr="00DF03CE" w14:paraId="3A4E3A1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38751BB0" w14:textId="77777777" w:rsidR="00C96F90" w:rsidRPr="00DF03CE" w:rsidRDefault="00000000" w:rsidP="00DF03CE">
            <w:pPr>
              <w:jc w:val="both"/>
              <w:rPr>
                <w:color w:val="000000" w:themeColor="text1"/>
              </w:rPr>
            </w:pPr>
            <w:r w:rsidRPr="00DF03CE">
              <w:rPr>
                <w:b/>
                <w:bCs/>
                <w:color w:val="000000" w:themeColor="text1"/>
                <w:sz w:val="19"/>
                <w:szCs w:val="19"/>
              </w:rPr>
              <w:t>15,000–11,700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FB4131D" w14:textId="77777777" w:rsidR="00C96F90" w:rsidRPr="00DF03CE" w:rsidRDefault="00000000" w:rsidP="00DF03CE">
            <w:pPr>
              <w:jc w:val="center"/>
              <w:rPr>
                <w:color w:val="000000" w:themeColor="text1"/>
              </w:rPr>
            </w:pPr>
            <w:r w:rsidRPr="00DF03CE">
              <w:rPr>
                <w:color w:val="000000" w:themeColor="text1"/>
                <w:sz w:val="19"/>
                <w:szCs w:val="19"/>
              </w:rPr>
              <w:t xml:space="preserve">Late Upper </w:t>
            </w:r>
            <w:proofErr w:type="spellStart"/>
            <w:r w:rsidRPr="00DF03CE">
              <w:rPr>
                <w:color w:val="000000" w:themeColor="text1"/>
                <w:sz w:val="19"/>
                <w:szCs w:val="19"/>
              </w:rPr>
              <w:t>Palaeolithic</w:t>
            </w:r>
            <w:proofErr w:type="spellEnd"/>
            <w:r w:rsidRPr="00DF03CE">
              <w:rPr>
                <w:color w:val="000000" w:themeColor="text1"/>
                <w:sz w:val="19"/>
                <w:szCs w:val="19"/>
              </w:rPr>
              <w:t xml:space="preserve"> aggregation sites; increased sedentism; ritual intensification</w:t>
            </w:r>
          </w:p>
        </w:tc>
      </w:tr>
      <w:tr w:rsidR="00C96F90" w:rsidRPr="00DF03CE" w14:paraId="08EBA31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66187108" w14:textId="77777777" w:rsidR="00C96F90" w:rsidRPr="00DF03CE" w:rsidRDefault="00000000" w:rsidP="00DF03CE">
            <w:pPr>
              <w:jc w:val="both"/>
              <w:rPr>
                <w:color w:val="000000" w:themeColor="text1"/>
              </w:rPr>
            </w:pPr>
            <w:r w:rsidRPr="00DF03CE">
              <w:rPr>
                <w:b/>
                <w:bCs/>
                <w:color w:val="000000" w:themeColor="text1"/>
                <w:sz w:val="19"/>
                <w:szCs w:val="19"/>
              </w:rPr>
              <w:t>11,700–10,500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2B51B78" w14:textId="77777777" w:rsidR="00C96F90" w:rsidRPr="00DF03CE" w:rsidRDefault="00000000" w:rsidP="00DF03CE">
            <w:pPr>
              <w:jc w:val="center"/>
              <w:rPr>
                <w:color w:val="000000" w:themeColor="text1"/>
              </w:rPr>
            </w:pPr>
            <w:r w:rsidRPr="00DF03CE">
              <w:rPr>
                <w:color w:val="000000" w:themeColor="text1"/>
                <w:sz w:val="19"/>
                <w:szCs w:val="19"/>
              </w:rPr>
              <w:t>Younger Dryas instability; aggregation and ritual activity accelerate</w:t>
            </w:r>
          </w:p>
        </w:tc>
      </w:tr>
      <w:tr w:rsidR="00C96F90" w:rsidRPr="00DF03CE" w14:paraId="1B5D861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52DC4A53" w14:textId="77777777" w:rsidR="00C96F90" w:rsidRPr="00DF03CE" w:rsidRDefault="00000000" w:rsidP="00DF03CE">
            <w:pPr>
              <w:jc w:val="both"/>
              <w:rPr>
                <w:color w:val="000000" w:themeColor="text1"/>
              </w:rPr>
            </w:pPr>
            <w:r w:rsidRPr="00DF03CE">
              <w:rPr>
                <w:b/>
                <w:bCs/>
                <w:color w:val="000000" w:themeColor="text1"/>
                <w:sz w:val="19"/>
                <w:szCs w:val="19"/>
              </w:rPr>
              <w:t>10,500–9,600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81C28FE" w14:textId="77777777" w:rsidR="00C96F90" w:rsidRPr="00DF03CE" w:rsidRDefault="00000000" w:rsidP="00DF03CE">
            <w:pPr>
              <w:jc w:val="center"/>
              <w:rPr>
                <w:color w:val="000000" w:themeColor="text1"/>
              </w:rPr>
            </w:pPr>
            <w:r w:rsidRPr="00DF03CE">
              <w:rPr>
                <w:color w:val="000000" w:themeColor="text1"/>
                <w:sz w:val="19"/>
                <w:szCs w:val="19"/>
              </w:rPr>
              <w:t>Early Holocene warming; semi-sedentary communities; formalized ritual spaces</w:t>
            </w:r>
          </w:p>
        </w:tc>
      </w:tr>
      <w:tr w:rsidR="00C96F90" w:rsidRPr="00DF03CE" w14:paraId="3AA5C44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60" w:type="dxa"/>
              <w:left w:w="120" w:type="dxa"/>
              <w:bottom w:w="60" w:type="dxa"/>
              <w:right w:w="120" w:type="dxa"/>
            </w:tcMar>
          </w:tcPr>
          <w:p w14:paraId="6DEF11AD" w14:textId="77777777" w:rsidR="00C96F90" w:rsidRPr="00DF03CE" w:rsidRDefault="00000000" w:rsidP="00DF03CE">
            <w:pPr>
              <w:jc w:val="both"/>
              <w:rPr>
                <w:color w:val="000000" w:themeColor="text1"/>
              </w:rPr>
            </w:pPr>
            <w:r w:rsidRPr="00DF03CE">
              <w:rPr>
                <w:b/>
                <w:bCs/>
                <w:color w:val="000000" w:themeColor="text1"/>
                <w:sz w:val="19"/>
                <w:szCs w:val="19"/>
              </w:rPr>
              <w:t>9,600–8,200 BCE</w:t>
            </w:r>
          </w:p>
        </w:tc>
        <w:tc>
          <w:tcPr>
            <w:tcW w:w="69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785FF74" w14:textId="77777777" w:rsidR="00C96F90" w:rsidRPr="00DF03CE" w:rsidRDefault="00000000" w:rsidP="00DF03CE">
            <w:pPr>
              <w:jc w:val="center"/>
              <w:rPr>
                <w:color w:val="000000" w:themeColor="text1"/>
              </w:rPr>
            </w:pPr>
            <w:r w:rsidRPr="00DF03CE">
              <w:rPr>
                <w:color w:val="000000" w:themeColor="text1"/>
                <w:sz w:val="19"/>
                <w:szCs w:val="19"/>
              </w:rPr>
              <w:t xml:space="preserve">Pre-Pottery Neolithic; </w:t>
            </w:r>
            <w:proofErr w:type="spellStart"/>
            <w:r w:rsidRPr="00DF03CE">
              <w:rPr>
                <w:color w:val="000000" w:themeColor="text1"/>
                <w:sz w:val="19"/>
                <w:szCs w:val="19"/>
              </w:rPr>
              <w:t>Göbekli</w:t>
            </w:r>
            <w:proofErr w:type="spellEnd"/>
            <w:r w:rsidRPr="00DF03CE">
              <w:rPr>
                <w:color w:val="000000" w:themeColor="text1"/>
                <w:sz w:val="19"/>
                <w:szCs w:val="19"/>
              </w:rPr>
              <w:t xml:space="preserve"> Tepe / Karahan Tepe / Taş </w:t>
            </w:r>
            <w:proofErr w:type="spellStart"/>
            <w:r w:rsidRPr="00DF03CE">
              <w:rPr>
                <w:color w:val="000000" w:themeColor="text1"/>
                <w:sz w:val="19"/>
                <w:szCs w:val="19"/>
              </w:rPr>
              <w:t>Tepeler</w:t>
            </w:r>
            <w:proofErr w:type="spellEnd"/>
            <w:r w:rsidRPr="00DF03CE">
              <w:rPr>
                <w:color w:val="000000" w:themeColor="text1"/>
                <w:sz w:val="19"/>
                <w:szCs w:val="19"/>
              </w:rPr>
              <w:t xml:space="preserve"> — full DSSM saturation</w:t>
            </w:r>
          </w:p>
        </w:tc>
      </w:tr>
    </w:tbl>
    <w:p w14:paraId="0468C2E6" w14:textId="77777777" w:rsidR="00C96F90" w:rsidRPr="00DF03CE" w:rsidRDefault="00C96F90">
      <w:pPr>
        <w:spacing w:before="120" w:after="80"/>
        <w:rPr>
          <w:color w:val="000000" w:themeColor="text1"/>
        </w:rPr>
      </w:pPr>
    </w:p>
    <w:p w14:paraId="4209ADDF" w14:textId="77777777" w:rsidR="00C96F90" w:rsidRPr="00DF03CE" w:rsidRDefault="00000000">
      <w:pPr>
        <w:pStyle w:val="Heading2"/>
        <w:rPr>
          <w:color w:val="000000" w:themeColor="text1"/>
        </w:rPr>
      </w:pPr>
      <w:r w:rsidRPr="00DF03CE">
        <w:rPr>
          <w:color w:val="000000" w:themeColor="text1"/>
        </w:rPr>
        <w:t xml:space="preserve">9.2 The Taş </w:t>
      </w:r>
      <w:proofErr w:type="spellStart"/>
      <w:r w:rsidRPr="00DF03CE">
        <w:rPr>
          <w:color w:val="000000" w:themeColor="text1"/>
        </w:rPr>
        <w:t>Tepeler</w:t>
      </w:r>
      <w:proofErr w:type="spellEnd"/>
      <w:r w:rsidRPr="00DF03CE">
        <w:rPr>
          <w:color w:val="000000" w:themeColor="text1"/>
        </w:rPr>
        <w:t xml:space="preserve"> Landscape (~9,600–8,200 BCE)</w:t>
      </w:r>
    </w:p>
    <w:p w14:paraId="08602652" w14:textId="77777777" w:rsidR="00C96F90" w:rsidRPr="00DF03CE" w:rsidRDefault="00000000">
      <w:pPr>
        <w:spacing w:before="80" w:after="120"/>
        <w:jc w:val="both"/>
        <w:rPr>
          <w:color w:val="000000" w:themeColor="text1"/>
        </w:rPr>
      </w:pPr>
      <w:r w:rsidRPr="00DF03CE">
        <w:rPr>
          <w:color w:val="000000" w:themeColor="text1"/>
        </w:rPr>
        <w:t xml:space="preserve">The Taş </w:t>
      </w:r>
      <w:proofErr w:type="spellStart"/>
      <w:r w:rsidRPr="00DF03CE">
        <w:rPr>
          <w:color w:val="000000" w:themeColor="text1"/>
        </w:rPr>
        <w:t>Tepeler</w:t>
      </w:r>
      <w:proofErr w:type="spellEnd"/>
      <w:r w:rsidRPr="00DF03CE">
        <w:rPr>
          <w:color w:val="000000" w:themeColor="text1"/>
        </w:rPr>
        <w:t xml:space="preserve"> ('Stone Hills') project, launched by the Turkish Ministry of Culture and Tourism in 2021, encompasses more than 12 interconnected Pre-Pottery Neolithic sites across a 200-kilometer landscape in southeastern Turkey near </w:t>
      </w:r>
      <w:proofErr w:type="spellStart"/>
      <w:r w:rsidRPr="00DF03CE">
        <w:rPr>
          <w:color w:val="000000" w:themeColor="text1"/>
        </w:rPr>
        <w:t>Şanlıurfa</w:t>
      </w:r>
      <w:proofErr w:type="spellEnd"/>
      <w:r w:rsidRPr="00DF03CE">
        <w:rPr>
          <w:color w:val="000000" w:themeColor="text1"/>
        </w:rPr>
        <w:t>.</w:t>
      </w:r>
      <w:r w:rsidRPr="00DF03CE">
        <w:rPr>
          <w:rStyle w:val="FootnoteReference"/>
          <w:color w:val="000000" w:themeColor="text1"/>
        </w:rPr>
        <w:footnoteReference w:id="50"/>
      </w:r>
      <w:r w:rsidRPr="00DF03CE">
        <w:rPr>
          <w:color w:val="000000" w:themeColor="text1"/>
        </w:rPr>
        <w:t xml:space="preserve"> As of 2025, the project involves 219 scientists across 36 academic institutions. These sites share defining characteristics: monumental stone architecture with multi-ton pillars in repeated enclosures; predominantly zoomorphic and anthropomorphic iconography; minimal evidence of permanent habitation or administrative artifacts; and function as ritual or ceremonial centers. DSSM interprets these sites as Stage 3 mnemonic architectures — material environments designed to encode cosmological, social, and ritual knowledge, enabling intergenerational continuity without written records.</w:t>
      </w:r>
    </w:p>
    <w:p w14:paraId="6BAAD740" w14:textId="77777777" w:rsidR="00C96F90" w:rsidRPr="00DF03CE" w:rsidRDefault="00000000">
      <w:pPr>
        <w:spacing w:before="80" w:after="120"/>
        <w:jc w:val="both"/>
        <w:rPr>
          <w:color w:val="000000" w:themeColor="text1"/>
        </w:rPr>
      </w:pPr>
      <w:r w:rsidRPr="00DF03CE">
        <w:rPr>
          <w:color w:val="000000" w:themeColor="text1"/>
        </w:rPr>
        <w:t xml:space="preserve">The distinction between sites within the landscape is analytically significant. </w:t>
      </w:r>
      <w:proofErr w:type="spellStart"/>
      <w:r w:rsidRPr="00DF03CE">
        <w:rPr>
          <w:color w:val="000000" w:themeColor="text1"/>
        </w:rPr>
        <w:t>Göbekli</w:t>
      </w:r>
      <w:proofErr w:type="spellEnd"/>
      <w:r w:rsidRPr="00DF03CE">
        <w:rPr>
          <w:color w:val="000000" w:themeColor="text1"/>
        </w:rPr>
        <w:t xml:space="preserve"> Tepe is characterized by zoomorphic dominance — predatory animals, vultures, snakes — suggesting a cosmological focus on the boundary between human and animal worlds.</w:t>
      </w:r>
      <w:r w:rsidRPr="00DF03CE">
        <w:rPr>
          <w:rStyle w:val="FootnoteReference"/>
          <w:color w:val="000000" w:themeColor="text1"/>
        </w:rPr>
        <w:footnoteReference w:id="51"/>
      </w:r>
      <w:r w:rsidRPr="00DF03CE">
        <w:rPr>
          <w:color w:val="000000" w:themeColor="text1"/>
        </w:rPr>
        <w:t xml:space="preserve"> Karahan Tepe, by contrast, centers the human figure: life-scale sculptures with anatomical realism, the 2025 discovery of the first T-pillar carved with a three-dimensional human face, and a rock-cut ritual chamber organized around a human statue. </w:t>
      </w:r>
      <w:proofErr w:type="spellStart"/>
      <w:r w:rsidRPr="00DF03CE">
        <w:rPr>
          <w:color w:val="000000" w:themeColor="text1"/>
        </w:rPr>
        <w:t>Sayburç's</w:t>
      </w:r>
      <w:proofErr w:type="spellEnd"/>
      <w:r w:rsidRPr="00DF03CE">
        <w:rPr>
          <w:color w:val="000000" w:themeColor="text1"/>
        </w:rPr>
        <w:t xml:space="preserve"> hunting-scene narrative — two men, two leopards, a snake, a boar — and </w:t>
      </w:r>
      <w:proofErr w:type="spellStart"/>
      <w:r w:rsidRPr="00DF03CE">
        <w:rPr>
          <w:color w:val="000000" w:themeColor="text1"/>
        </w:rPr>
        <w:t>Sefertepe's</w:t>
      </w:r>
      <w:proofErr w:type="spellEnd"/>
      <w:r w:rsidRPr="00DF03CE">
        <w:rPr>
          <w:color w:val="000000" w:themeColor="text1"/>
        </w:rPr>
        <w:t xml:space="preserve"> stylistically distinct face reliefs indicate not a single monolithic tradition but a networked symbolic landscape with local variation within a shared </w:t>
      </w:r>
      <w:r w:rsidRPr="00DF03CE">
        <w:rPr>
          <w:color w:val="000000" w:themeColor="text1"/>
        </w:rPr>
        <w:lastRenderedPageBreak/>
        <w:t>structural grammar. This is precisely what DSSM Stage 3 cross-media redundancy predicts: symbolic coherence maintained across spatial distribution through shared formal constraints, not identical content.</w:t>
      </w:r>
    </w:p>
    <w:p w14:paraId="1410ACB0" w14:textId="77777777" w:rsidR="00C96F90" w:rsidRPr="00DF03CE" w:rsidRDefault="00000000">
      <w:pPr>
        <w:pStyle w:val="Heading2"/>
        <w:rPr>
          <w:color w:val="000000" w:themeColor="text1"/>
        </w:rPr>
      </w:pPr>
      <w:r w:rsidRPr="00DF03CE">
        <w:rPr>
          <w:color w:val="000000" w:themeColor="text1"/>
        </w:rPr>
        <w:t>9.3 Key Sites and FCP Scores</w:t>
      </w:r>
    </w:p>
    <w:p w14:paraId="5EBD87C5"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Blombos Cave, South Africa (100,000–70,000 BCE): 12/12 FCP — earliest fully DSSM-saturated symbolic system in the current record.</w:t>
      </w:r>
      <w:r w:rsidRPr="00DF03CE">
        <w:rPr>
          <w:rStyle w:val="FootnoteReference"/>
          <w:color w:val="000000" w:themeColor="text1"/>
        </w:rPr>
        <w:footnoteReference w:id="52"/>
      </w:r>
      <w:r w:rsidRPr="00DF03CE">
        <w:rPr>
          <w:color w:val="000000" w:themeColor="text1"/>
          <w:vertAlign w:val="superscript"/>
        </w:rPr>
        <w:t>,</w:t>
      </w:r>
      <w:r w:rsidRPr="00DF03CE">
        <w:rPr>
          <w:rStyle w:val="FootnoteReference"/>
          <w:color w:val="000000" w:themeColor="text1"/>
        </w:rPr>
        <w:footnoteReference w:id="53"/>
      </w:r>
    </w:p>
    <w:p w14:paraId="280E745F" w14:textId="77777777" w:rsidR="00C96F90" w:rsidRPr="00DF03CE" w:rsidRDefault="00000000">
      <w:pPr>
        <w:pStyle w:val="ListParagraph"/>
        <w:numPr>
          <w:ilvl w:val="0"/>
          <w:numId w:val="2"/>
        </w:numPr>
        <w:spacing w:before="40" w:after="40"/>
        <w:rPr>
          <w:color w:val="000000" w:themeColor="text1"/>
        </w:rPr>
      </w:pPr>
      <w:proofErr w:type="spellStart"/>
      <w:r w:rsidRPr="00DF03CE">
        <w:rPr>
          <w:color w:val="000000" w:themeColor="text1"/>
        </w:rPr>
        <w:t>Bruniquel</w:t>
      </w:r>
      <w:proofErr w:type="spellEnd"/>
      <w:r w:rsidRPr="00DF03CE">
        <w:rPr>
          <w:color w:val="000000" w:themeColor="text1"/>
        </w:rPr>
        <w:t xml:space="preserve"> Cave, France (176,000 BP): 8/12 FCP — Neanderthal spatial organization; proto-offloading.</w:t>
      </w:r>
      <w:r w:rsidRPr="00DF03CE">
        <w:rPr>
          <w:rStyle w:val="FootnoteReference"/>
          <w:color w:val="000000" w:themeColor="text1"/>
        </w:rPr>
        <w:footnoteReference w:id="54"/>
      </w:r>
      <w:r w:rsidRPr="00DF03CE">
        <w:rPr>
          <w:color w:val="000000" w:themeColor="text1"/>
          <w:vertAlign w:val="superscript"/>
        </w:rPr>
        <w:t>,</w:t>
      </w:r>
      <w:r w:rsidRPr="00DF03CE">
        <w:rPr>
          <w:rStyle w:val="FootnoteReference"/>
          <w:color w:val="000000" w:themeColor="text1"/>
        </w:rPr>
        <w:footnoteReference w:id="55"/>
      </w:r>
    </w:p>
    <w:p w14:paraId="4D933841"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Qafzeh Cave, Israel (92,000 BP): earliest candidate for full symbolic offloading — ochre and marine shells in mortuary context.</w:t>
      </w:r>
      <w:r w:rsidRPr="00DF03CE">
        <w:rPr>
          <w:rStyle w:val="FootnoteReference"/>
          <w:color w:val="000000" w:themeColor="text1"/>
        </w:rPr>
        <w:footnoteReference w:id="56"/>
      </w:r>
    </w:p>
    <w:p w14:paraId="23E1E3FE"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Sulawesi, Indonesia (≥67,800 BCE): earliest dated figurative cave art in Wallacea; cross-media redundancy confirmed.</w:t>
      </w:r>
      <w:r w:rsidRPr="00DF03CE">
        <w:rPr>
          <w:rStyle w:val="FootnoteReference"/>
          <w:color w:val="000000" w:themeColor="text1"/>
        </w:rPr>
        <w:footnoteReference w:id="57"/>
      </w:r>
    </w:p>
    <w:p w14:paraId="2BF43A9A"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 xml:space="preserve">Taş </w:t>
      </w:r>
      <w:proofErr w:type="spellStart"/>
      <w:r w:rsidRPr="00DF03CE">
        <w:rPr>
          <w:color w:val="000000" w:themeColor="text1"/>
        </w:rPr>
        <w:t>Tepeler</w:t>
      </w:r>
      <w:proofErr w:type="spellEnd"/>
      <w:r w:rsidRPr="00DF03CE">
        <w:rPr>
          <w:color w:val="000000" w:themeColor="text1"/>
        </w:rPr>
        <w:t xml:space="preserve"> landscape (9,600–8,200 BCE): full DSSM saturation (4/4 criteria); Stage 3 paradigm case; symbolic precondition thesis most strongly confirmed.</w:t>
      </w:r>
      <w:r w:rsidRPr="00DF03CE">
        <w:rPr>
          <w:rStyle w:val="FootnoteReference"/>
          <w:color w:val="000000" w:themeColor="text1"/>
        </w:rPr>
        <w:footnoteReference w:id="58"/>
      </w:r>
      <w:r w:rsidRPr="00DF03CE">
        <w:rPr>
          <w:color w:val="000000" w:themeColor="text1"/>
          <w:vertAlign w:val="superscript"/>
        </w:rPr>
        <w:t>,</w:t>
      </w:r>
      <w:r w:rsidRPr="00DF03CE">
        <w:rPr>
          <w:rStyle w:val="FootnoteReference"/>
          <w:color w:val="000000" w:themeColor="text1"/>
        </w:rPr>
        <w:footnoteReference w:id="59"/>
      </w:r>
    </w:p>
    <w:p w14:paraId="5378E9AE" w14:textId="77777777" w:rsidR="00C96F90" w:rsidRPr="00DF03CE" w:rsidRDefault="00000000">
      <w:pPr>
        <w:pStyle w:val="Heading1"/>
        <w:rPr>
          <w:color w:val="000000" w:themeColor="text1"/>
        </w:rPr>
      </w:pPr>
      <w:r w:rsidRPr="00DF03CE">
        <w:rPr>
          <w:color w:val="000000" w:themeColor="text1"/>
        </w:rPr>
        <w:t>10. Negative Cases and Boundary Conditions</w:t>
      </w:r>
    </w:p>
    <w:p w14:paraId="60A999D7" w14:textId="77777777" w:rsidR="00C96F90" w:rsidRPr="00DF03CE" w:rsidRDefault="00000000">
      <w:pPr>
        <w:spacing w:before="80" w:after="120"/>
        <w:jc w:val="both"/>
        <w:rPr>
          <w:color w:val="000000" w:themeColor="text1"/>
        </w:rPr>
      </w:pPr>
      <w:r w:rsidRPr="00DF03CE">
        <w:rPr>
          <w:color w:val="000000" w:themeColor="text1"/>
        </w:rPr>
        <w:t>DSSM's explanatory scope is clarified by cases where the model predicts non-saturation, and where the predicted outcome is confirmed:</w:t>
      </w:r>
    </w:p>
    <w:p w14:paraId="657FC0F1" w14:textId="77777777" w:rsidR="00C96F90" w:rsidRPr="00DF03CE" w:rsidRDefault="00000000">
      <w:pPr>
        <w:pStyle w:val="Heading2"/>
        <w:rPr>
          <w:color w:val="000000" w:themeColor="text1"/>
        </w:rPr>
      </w:pPr>
      <w:r w:rsidRPr="00DF03CE">
        <w:rPr>
          <w:color w:val="000000" w:themeColor="text1"/>
        </w:rPr>
        <w:t>10.1 Australia</w:t>
      </w:r>
    </w:p>
    <w:p w14:paraId="7119D6B5" w14:textId="77777777" w:rsidR="00C96F90" w:rsidRPr="00DF03CE" w:rsidRDefault="00000000">
      <w:pPr>
        <w:spacing w:before="80" w:after="120"/>
        <w:jc w:val="both"/>
        <w:rPr>
          <w:color w:val="000000" w:themeColor="text1"/>
        </w:rPr>
      </w:pPr>
      <w:r w:rsidRPr="00DF03CE">
        <w:rPr>
          <w:color w:val="000000" w:themeColor="text1"/>
        </w:rPr>
        <w:t>Aboriginal Australian societies maintained extraordinary symbolic complexity — among the world's richest oral tradition systems, ceremonial landscapes, and Dreaming cosmologies — while remaining pre-agricultural and maintaining deliberate band sizes of approximately 25–50 persons, well below the ~500-person Stage 3 threshold.</w:t>
      </w:r>
      <w:r w:rsidRPr="00DF03CE">
        <w:rPr>
          <w:rStyle w:val="FootnoteReference"/>
          <w:color w:val="000000" w:themeColor="text1"/>
        </w:rPr>
        <w:footnoteReference w:id="60"/>
      </w:r>
      <w:r w:rsidRPr="00DF03CE">
        <w:rPr>
          <w:color w:val="000000" w:themeColor="text1"/>
          <w:vertAlign w:val="superscript"/>
        </w:rPr>
        <w:t>,</w:t>
      </w:r>
      <w:r w:rsidRPr="00DF03CE">
        <w:rPr>
          <w:rStyle w:val="FootnoteReference"/>
          <w:color w:val="000000" w:themeColor="text1"/>
        </w:rPr>
        <w:footnoteReference w:id="61"/>
      </w:r>
      <w:r w:rsidRPr="00DF03CE">
        <w:rPr>
          <w:color w:val="000000" w:themeColor="text1"/>
        </w:rPr>
        <w:t xml:space="preserve"> DSSM classifies this as a stable equilibrium at Stage 2, not a failure of symbolic development. The Australian case demonstrates that Stage 3 material externalization is threshold-dependent, not cognitively predetermined. High </w:t>
      </w:r>
      <w:r w:rsidRPr="00DF03CE">
        <w:rPr>
          <w:color w:val="000000" w:themeColor="text1"/>
        </w:rPr>
        <w:lastRenderedPageBreak/>
        <w:t>symbolic complexity can be maintained in non-material substrates indefinitely, provided community size remains below the threshold where biological transmission capacity is exceeded.</w:t>
      </w:r>
    </w:p>
    <w:p w14:paraId="074ED2F2" w14:textId="77777777" w:rsidR="00C96F90" w:rsidRPr="00DF03CE" w:rsidRDefault="00000000">
      <w:pPr>
        <w:pStyle w:val="Heading2"/>
        <w:rPr>
          <w:color w:val="000000" w:themeColor="text1"/>
        </w:rPr>
      </w:pPr>
      <w:r w:rsidRPr="00DF03CE">
        <w:rPr>
          <w:color w:val="000000" w:themeColor="text1"/>
        </w:rPr>
        <w:t>10.2 Sub-Saharan Africa</w:t>
      </w:r>
    </w:p>
    <w:p w14:paraId="75FF44AF" w14:textId="77777777" w:rsidR="00C96F90" w:rsidRPr="00DF03CE" w:rsidRDefault="00000000">
      <w:pPr>
        <w:spacing w:before="80" w:after="120"/>
        <w:jc w:val="both"/>
        <w:rPr>
          <w:color w:val="000000" w:themeColor="text1"/>
        </w:rPr>
      </w:pPr>
      <w:r w:rsidRPr="00DF03CE">
        <w:rPr>
          <w:color w:val="000000" w:themeColor="text1"/>
        </w:rPr>
        <w:t>Stage 3 material externalization is largely absent through network fragmentation in much of sub-Saharan Africa during the relevant periods, producing an estimated FCP composite of approximately 6/12. This reflects spatial dispersal rather than symbolic deficiency — the conditions for material anchoring (geographic constraint, community aggregation above threshold) were not systematically present, not the cognitive capacity for symbolic production.</w:t>
      </w:r>
      <w:r w:rsidRPr="00DF03CE">
        <w:rPr>
          <w:rStyle w:val="FootnoteReference"/>
          <w:color w:val="000000" w:themeColor="text1"/>
        </w:rPr>
        <w:footnoteReference w:id="62"/>
      </w:r>
      <w:r w:rsidRPr="00DF03CE">
        <w:rPr>
          <w:color w:val="000000" w:themeColor="text1"/>
          <w:vertAlign w:val="superscript"/>
        </w:rPr>
        <w:t>,</w:t>
      </w:r>
      <w:r w:rsidRPr="00DF03CE">
        <w:rPr>
          <w:rStyle w:val="FootnoteReference"/>
          <w:color w:val="000000" w:themeColor="text1"/>
        </w:rPr>
        <w:footnoteReference w:id="63"/>
      </w:r>
    </w:p>
    <w:p w14:paraId="5CFAE54F" w14:textId="77777777" w:rsidR="00C96F90" w:rsidRPr="00DF03CE" w:rsidRDefault="00000000">
      <w:pPr>
        <w:pStyle w:val="Heading2"/>
        <w:rPr>
          <w:color w:val="000000" w:themeColor="text1"/>
        </w:rPr>
      </w:pPr>
      <w:r w:rsidRPr="00DF03CE">
        <w:rPr>
          <w:color w:val="000000" w:themeColor="text1"/>
        </w:rPr>
        <w:t>10.3 Late Neolithic Europe</w:t>
      </w:r>
    </w:p>
    <w:p w14:paraId="203BEB95" w14:textId="77777777" w:rsidR="00C96F90" w:rsidRPr="00DF03CE" w:rsidRDefault="00000000">
      <w:pPr>
        <w:spacing w:before="80" w:after="120"/>
        <w:jc w:val="both"/>
        <w:rPr>
          <w:color w:val="000000" w:themeColor="text1"/>
        </w:rPr>
      </w:pPr>
      <w:r w:rsidRPr="00DF03CE">
        <w:rPr>
          <w:color w:val="000000" w:themeColor="text1"/>
        </w:rPr>
        <w:t>Stage 3 partial expression with delayed state formation — approximately 1,500 years behind the Axial-River pathway civilizations.</w:t>
      </w:r>
      <w:r w:rsidRPr="00DF03CE">
        <w:rPr>
          <w:rStyle w:val="FootnoteReference"/>
          <w:color w:val="000000" w:themeColor="text1"/>
        </w:rPr>
        <w:footnoteReference w:id="64"/>
      </w:r>
      <w:r w:rsidRPr="00DF03CE">
        <w:rPr>
          <w:color w:val="000000" w:themeColor="text1"/>
        </w:rPr>
        <w:t xml:space="preserve"> The </w:t>
      </w:r>
      <w:proofErr w:type="spellStart"/>
      <w:r w:rsidRPr="00DF03CE">
        <w:rPr>
          <w:color w:val="000000" w:themeColor="text1"/>
        </w:rPr>
        <w:t>Vinča</w:t>
      </w:r>
      <w:proofErr w:type="spellEnd"/>
      <w:r w:rsidRPr="00DF03CE">
        <w:rPr>
          <w:color w:val="000000" w:themeColor="text1"/>
        </w:rPr>
        <w:t xml:space="preserve"> culture (5,700–4,500 BCE) represents the first fully DSSM-compliant European symbolic system; its collapse reflects network disruption rather than cognitive failure. Stonehenge and megalithic Atlantic traditions demonstrate Stage 3 capacity without Stage 4 transition, indicating that the Stage 3→4 step requires specific conditions that were not uniformly present across Europe.</w:t>
      </w:r>
    </w:p>
    <w:p w14:paraId="35C96B7A" w14:textId="77777777" w:rsidR="00C96F90" w:rsidRPr="00DF03CE" w:rsidRDefault="00000000">
      <w:pPr>
        <w:pStyle w:val="Heading2"/>
        <w:rPr>
          <w:color w:val="000000" w:themeColor="text1"/>
        </w:rPr>
      </w:pPr>
      <w:r w:rsidRPr="00DF03CE">
        <w:rPr>
          <w:color w:val="000000" w:themeColor="text1"/>
        </w:rPr>
        <w:t>10.4 Methodological Note</w:t>
      </w:r>
    </w:p>
    <w:p w14:paraId="0B2CF194" w14:textId="77777777" w:rsidR="00C96F90" w:rsidRPr="00DF03CE" w:rsidRDefault="00000000">
      <w:pPr>
        <w:spacing w:before="80" w:after="120"/>
        <w:jc w:val="both"/>
        <w:rPr>
          <w:color w:val="000000" w:themeColor="text1"/>
        </w:rPr>
      </w:pPr>
      <w:r w:rsidRPr="00DF03CE">
        <w:rPr>
          <w:color w:val="000000" w:themeColor="text1"/>
        </w:rPr>
        <w:t>Negative cases are not embarrassments to the model — they are its strongest tests.</w:t>
      </w:r>
      <w:r w:rsidRPr="00DF03CE">
        <w:rPr>
          <w:rStyle w:val="FootnoteReference"/>
          <w:color w:val="000000" w:themeColor="text1"/>
        </w:rPr>
        <w:footnoteReference w:id="65"/>
      </w:r>
      <w:r w:rsidRPr="00DF03CE">
        <w:rPr>
          <w:color w:val="000000" w:themeColor="text1"/>
        </w:rPr>
        <w:t xml:space="preserve"> A framework that cannot predict where symbolic saturation should not occur is not falsifiable. The cases above confirm DSSM's threshold logic: the model predicts Stage 3 emergence as a function of community size and symbolic load, not as a universal developmental schedule.</w:t>
      </w:r>
    </w:p>
    <w:p w14:paraId="563C6E77" w14:textId="77777777" w:rsidR="00C96F90" w:rsidRPr="00DF03CE" w:rsidRDefault="00000000">
      <w:pPr>
        <w:pStyle w:val="Heading1"/>
        <w:rPr>
          <w:color w:val="000000" w:themeColor="text1"/>
        </w:rPr>
      </w:pPr>
      <w:r w:rsidRPr="00DF03CE">
        <w:rPr>
          <w:color w:val="000000" w:themeColor="text1"/>
        </w:rPr>
        <w:t>11. Testable Expectations and Falsifiability</w:t>
      </w:r>
    </w:p>
    <w:p w14:paraId="6766B1CE" w14:textId="77777777" w:rsidR="00C96F90" w:rsidRPr="00DF03CE" w:rsidRDefault="00000000">
      <w:pPr>
        <w:spacing w:before="80" w:after="120"/>
        <w:jc w:val="both"/>
        <w:rPr>
          <w:color w:val="000000" w:themeColor="text1"/>
        </w:rPr>
      </w:pPr>
      <w:r w:rsidRPr="00DF03CE">
        <w:rPr>
          <w:color w:val="000000" w:themeColor="text1"/>
        </w:rPr>
        <w:t>DSSM would be weakened or falsified if evidence consistently demonstrated:</w:t>
      </w:r>
    </w:p>
    <w:p w14:paraId="69C01F39"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Early monumental sites functioned primarily as domestic or administrative centers rather than ritual ones</w:t>
      </w:r>
    </w:p>
    <w:p w14:paraId="0A7AC36C"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Writing emerged independently of pre-existing symbolic cognition — with no material or ritual antecedents</w:t>
      </w:r>
    </w:p>
    <w:p w14:paraId="22A7C76D"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Oral societies could not maintain complex symbolic systems across more than one or two generations</w:t>
      </w:r>
    </w:p>
    <w:p w14:paraId="199A5520"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Monumental architecture consistently appears only after surplus-based administration is established</w:t>
      </w:r>
    </w:p>
    <w:p w14:paraId="50C06CC3"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The ~500-person threshold for Stage 2→3 transition is consistently violated — with either much smaller communities producing Stage 3 architecture, or much larger ones remaining at Stage 2 without material externalization</w:t>
      </w:r>
    </w:p>
    <w:p w14:paraId="01196144"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lastRenderedPageBreak/>
        <w:t>Negative cases exhibit Stage 3 signatures inconsistent with the threshold prediction</w:t>
      </w:r>
    </w:p>
    <w:p w14:paraId="45B51ACF" w14:textId="77777777" w:rsidR="00C96F90" w:rsidRPr="00DF03CE" w:rsidRDefault="00000000">
      <w:pPr>
        <w:spacing w:before="80" w:after="120"/>
        <w:jc w:val="both"/>
        <w:rPr>
          <w:color w:val="000000" w:themeColor="text1"/>
        </w:rPr>
      </w:pPr>
      <w:r w:rsidRPr="00DF03CE">
        <w:rPr>
          <w:color w:val="000000" w:themeColor="text1"/>
        </w:rPr>
        <w:t>These are genuine falsification conditions. The model is strengthened by each excavation season that confirms monumental construction in pre-agricultural contexts</w:t>
      </w:r>
      <w:r w:rsidRPr="00DF03CE">
        <w:rPr>
          <w:rStyle w:val="FootnoteReference"/>
          <w:color w:val="000000" w:themeColor="text1"/>
        </w:rPr>
        <w:footnoteReference w:id="66"/>
      </w:r>
      <w:r w:rsidRPr="00DF03CE">
        <w:rPr>
          <w:color w:val="000000" w:themeColor="text1"/>
          <w:vertAlign w:val="superscript"/>
        </w:rPr>
        <w:t>,</w:t>
      </w:r>
      <w:r w:rsidRPr="00DF03CE">
        <w:rPr>
          <w:rStyle w:val="FootnoteReference"/>
          <w:color w:val="000000" w:themeColor="text1"/>
        </w:rPr>
        <w:footnoteReference w:id="67"/>
      </w:r>
      <w:r w:rsidRPr="00DF03CE">
        <w:rPr>
          <w:color w:val="000000" w:themeColor="text1"/>
        </w:rPr>
        <w:t>; it would be directly challenged by any well-evidenced case of complex institutional organization without antecedent symbolic stabilization.</w:t>
      </w:r>
    </w:p>
    <w:p w14:paraId="4FD25E60" w14:textId="77777777" w:rsidR="00C96F90" w:rsidRPr="00DF03CE" w:rsidRDefault="00000000">
      <w:pPr>
        <w:pStyle w:val="Heading1"/>
        <w:rPr>
          <w:color w:val="000000" w:themeColor="text1"/>
        </w:rPr>
      </w:pPr>
      <w:r w:rsidRPr="00DF03CE">
        <w:rPr>
          <w:color w:val="000000" w:themeColor="text1"/>
        </w:rPr>
        <w:t>12. SDG Alignment Statement</w:t>
      </w:r>
    </w:p>
    <w:p w14:paraId="547B72BF" w14:textId="77777777" w:rsidR="00C96F90" w:rsidRPr="00DF03CE" w:rsidRDefault="00000000">
      <w:pPr>
        <w:spacing w:before="80" w:after="120"/>
        <w:jc w:val="both"/>
        <w:rPr>
          <w:color w:val="000000" w:themeColor="text1"/>
        </w:rPr>
      </w:pPr>
      <w:r w:rsidRPr="00DF03CE">
        <w:rPr>
          <w:color w:val="000000" w:themeColor="text1"/>
        </w:rPr>
        <w:t>This research contributes to the following UN Sustainable Development Goals:</w:t>
      </w:r>
      <w:r w:rsidRPr="00DF03CE">
        <w:rPr>
          <w:rStyle w:val="FootnoteReference"/>
          <w:color w:val="000000" w:themeColor="text1"/>
        </w:rPr>
        <w:footnoteReference w:id="68"/>
      </w:r>
    </w:p>
    <w:p w14:paraId="1EEDFC7B"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SDG 4 — Quality Education: The DSSM framework provides a scientifically grounded reframing of early human cognitive history, with direct implications for how prehistory and cultural evolution are taught. Understanding symbolic cognition as the precondition for civilization — rather than its product — changes the educational narrative about human origins.</w:t>
      </w:r>
    </w:p>
    <w:p w14:paraId="2AFBAE29"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SDG 11 — Sustainable Cities and Communities: The model's analysis of how early communities built durable social infrastructure through shared symbolic systems offers principles relevant to community cohesion and cultural heritage preservation in contemporary urban contexts.</w:t>
      </w:r>
    </w:p>
    <w:p w14:paraId="14552C92"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SDG 16 — Peace, Justice and Strong Institutions: DSSM's analysis of symbolic stabilization as the foundation of institutional durability — and of constraint-without-internalization as a documented failure mode across civilizations — has direct implications for the design of governance systems that achieve genuine rather than surface compliance.</w:t>
      </w:r>
    </w:p>
    <w:p w14:paraId="229B9011" w14:textId="77777777" w:rsidR="00C96F90" w:rsidRPr="00DF03CE" w:rsidRDefault="00000000">
      <w:pPr>
        <w:pStyle w:val="ListParagraph"/>
        <w:numPr>
          <w:ilvl w:val="0"/>
          <w:numId w:val="2"/>
        </w:numPr>
        <w:spacing w:before="40" w:after="40"/>
        <w:rPr>
          <w:color w:val="000000" w:themeColor="text1"/>
        </w:rPr>
      </w:pPr>
      <w:r w:rsidRPr="00DF03CE">
        <w:rPr>
          <w:color w:val="000000" w:themeColor="text1"/>
        </w:rPr>
        <w:t xml:space="preserve">SDG 17 — Partnerships for the Goals: The Taş </w:t>
      </w:r>
      <w:proofErr w:type="spellStart"/>
      <w:r w:rsidRPr="00DF03CE">
        <w:rPr>
          <w:color w:val="000000" w:themeColor="text1"/>
        </w:rPr>
        <w:t>Tepeler</w:t>
      </w:r>
      <w:proofErr w:type="spellEnd"/>
      <w:r w:rsidRPr="00DF03CE">
        <w:rPr>
          <w:color w:val="000000" w:themeColor="text1"/>
        </w:rPr>
        <w:t xml:space="preserve"> project, involving 219 scientists across 36 institutions in 21 countries, exemplifies the international research collaboration this framework engages with and contributes to.</w:t>
      </w:r>
    </w:p>
    <w:p w14:paraId="44F2AA67" w14:textId="77777777" w:rsidR="00C96F90" w:rsidRPr="00DF03CE" w:rsidRDefault="00000000">
      <w:pPr>
        <w:pStyle w:val="Heading1"/>
        <w:rPr>
          <w:color w:val="000000" w:themeColor="text1"/>
        </w:rPr>
      </w:pPr>
      <w:r w:rsidRPr="00DF03CE">
        <w:rPr>
          <w:color w:val="000000" w:themeColor="text1"/>
        </w:rPr>
        <w:t>13. Conclusion</w:t>
      </w:r>
    </w:p>
    <w:p w14:paraId="2C7FFD2C" w14:textId="77777777" w:rsidR="00C96F90" w:rsidRPr="00DF03CE" w:rsidRDefault="00000000">
      <w:pPr>
        <w:spacing w:before="80" w:after="120"/>
        <w:jc w:val="both"/>
        <w:rPr>
          <w:color w:val="000000" w:themeColor="text1"/>
        </w:rPr>
      </w:pPr>
      <w:r w:rsidRPr="00DF03CE">
        <w:rPr>
          <w:color w:val="000000" w:themeColor="text1"/>
        </w:rPr>
        <w:t>DSSM reframes early human history as a process in which symbolic cognition and ritual organization precede and enable technological and administrative complexity. The conventional sequence — surplus, sedentism, symbolism — is empirically inverted. Symbolic stabilization, achieved through intergenerational repetition, spatial constraint, cross-media redundancy, and persistence under stress, is the precondition for the coordination capacity that enables sedentism, surplus, and eventually administrative complexity.</w:t>
      </w:r>
      <w:r w:rsidRPr="00DF03CE">
        <w:rPr>
          <w:rStyle w:val="FootnoteReference"/>
          <w:color w:val="000000" w:themeColor="text1"/>
        </w:rPr>
        <w:footnoteReference w:id="69"/>
      </w:r>
      <w:r w:rsidRPr="00DF03CE">
        <w:rPr>
          <w:color w:val="000000" w:themeColor="text1"/>
          <w:vertAlign w:val="superscript"/>
        </w:rPr>
        <w:t>,</w:t>
      </w:r>
      <w:r w:rsidRPr="00DF03CE">
        <w:rPr>
          <w:rStyle w:val="FootnoteReference"/>
          <w:color w:val="000000" w:themeColor="text1"/>
        </w:rPr>
        <w:footnoteReference w:id="70"/>
      </w:r>
    </w:p>
    <w:p w14:paraId="45204CF6" w14:textId="77777777" w:rsidR="00C96F90" w:rsidRPr="00DF03CE" w:rsidRDefault="00000000">
      <w:pPr>
        <w:spacing w:before="80" w:after="120"/>
        <w:jc w:val="both"/>
        <w:rPr>
          <w:color w:val="000000" w:themeColor="text1"/>
        </w:rPr>
      </w:pPr>
      <w:r w:rsidRPr="00DF03CE">
        <w:rPr>
          <w:color w:val="000000" w:themeColor="text1"/>
        </w:rPr>
        <w:t xml:space="preserve">The Taş </w:t>
      </w:r>
      <w:proofErr w:type="spellStart"/>
      <w:r w:rsidRPr="00DF03CE">
        <w:rPr>
          <w:color w:val="000000" w:themeColor="text1"/>
        </w:rPr>
        <w:t>Tepeler</w:t>
      </w:r>
      <w:proofErr w:type="spellEnd"/>
      <w:r w:rsidRPr="00DF03CE">
        <w:rPr>
          <w:color w:val="000000" w:themeColor="text1"/>
        </w:rPr>
        <w:t xml:space="preserve"> landscape — the most concentrated and recently excavated expression of this precondition in the current archaeological record — confirms that non-agricultural, non-literate hunter-gatherer communities were producing monumental architecture, networked symbolic </w:t>
      </w:r>
      <w:r w:rsidRPr="00DF03CE">
        <w:rPr>
          <w:color w:val="000000" w:themeColor="text1"/>
        </w:rPr>
        <w:lastRenderedPageBreak/>
        <w:t>landscapes, and sophisticated sculptural programs organized around shared ritual grammar twelve thousand years ago.</w:t>
      </w:r>
      <w:r w:rsidRPr="00DF03CE">
        <w:rPr>
          <w:rStyle w:val="FootnoteReference"/>
          <w:color w:val="000000" w:themeColor="text1"/>
        </w:rPr>
        <w:footnoteReference w:id="71"/>
      </w:r>
      <w:r w:rsidRPr="00DF03CE">
        <w:rPr>
          <w:color w:val="000000" w:themeColor="text1"/>
          <w:vertAlign w:val="superscript"/>
        </w:rPr>
        <w:t>,</w:t>
      </w:r>
      <w:r w:rsidRPr="00DF03CE">
        <w:rPr>
          <w:rStyle w:val="FootnoteReference"/>
          <w:color w:val="000000" w:themeColor="text1"/>
        </w:rPr>
        <w:footnoteReference w:id="72"/>
      </w:r>
      <w:r w:rsidRPr="00DF03CE">
        <w:rPr>
          <w:color w:val="000000" w:themeColor="text1"/>
        </w:rPr>
        <w:t xml:space="preserve"> This is not an anomaly. It is a prediction.</w:t>
      </w:r>
    </w:p>
    <w:p w14:paraId="03355A41" w14:textId="77777777" w:rsidR="00C96F90" w:rsidRPr="00DF03CE" w:rsidRDefault="00000000">
      <w:pPr>
        <w:spacing w:before="80" w:after="120"/>
        <w:jc w:val="both"/>
        <w:rPr>
          <w:color w:val="000000" w:themeColor="text1"/>
        </w:rPr>
      </w:pPr>
      <w:r w:rsidRPr="00DF03CE">
        <w:rPr>
          <w:color w:val="000000" w:themeColor="text1"/>
        </w:rPr>
        <w:t>Early ritual architecture — whether in Africa, the Levant, or Neolithic Anatolia — represents foundational cognitive and social scaffolds, not curiosities or exceptions. The model's scope extends forward: writing codifies what ritual established</w:t>
      </w:r>
      <w:r w:rsidRPr="00DF03CE">
        <w:rPr>
          <w:rStyle w:val="FootnoteReference"/>
          <w:color w:val="000000" w:themeColor="text1"/>
        </w:rPr>
        <w:footnoteReference w:id="73"/>
      </w:r>
      <w:r w:rsidRPr="00DF03CE">
        <w:rPr>
          <w:color w:val="000000" w:themeColor="text1"/>
        </w:rPr>
        <w:t>; administration manages what symbolic grammar already regulated</w:t>
      </w:r>
      <w:r w:rsidRPr="00DF03CE">
        <w:rPr>
          <w:rStyle w:val="FootnoteReference"/>
          <w:color w:val="000000" w:themeColor="text1"/>
        </w:rPr>
        <w:footnoteReference w:id="74"/>
      </w:r>
      <w:r w:rsidRPr="00DF03CE">
        <w:rPr>
          <w:color w:val="000000" w:themeColor="text1"/>
        </w:rPr>
        <w:t>; institutions enforce what shared cosmology already constrained.</w:t>
      </w:r>
      <w:r w:rsidRPr="00DF03CE">
        <w:rPr>
          <w:rStyle w:val="FootnoteReference"/>
          <w:color w:val="000000" w:themeColor="text1"/>
        </w:rPr>
        <w:footnoteReference w:id="75"/>
      </w:r>
      <w:r w:rsidRPr="00DF03CE">
        <w:rPr>
          <w:color w:val="000000" w:themeColor="text1"/>
        </w:rPr>
        <w:t xml:space="preserve"> The thread runs from Blombos to Karahan Tepe to the Nile, and its logic is not accidental.</w:t>
      </w:r>
    </w:p>
    <w:p w14:paraId="30D41DC5" w14:textId="77777777" w:rsidR="00C96F90" w:rsidRPr="00DF03CE" w:rsidRDefault="00000000">
      <w:pPr>
        <w:rPr>
          <w:color w:val="000000" w:themeColor="text1"/>
        </w:rPr>
      </w:pPr>
      <w:r w:rsidRPr="00DF03CE">
        <w:rPr>
          <w:color w:val="000000" w:themeColor="text1"/>
        </w:rPr>
        <w:br w:type="page"/>
      </w:r>
    </w:p>
    <w:p w14:paraId="5486E436" w14:textId="77777777" w:rsidR="00C96F90" w:rsidRPr="00DF03CE" w:rsidRDefault="00000000">
      <w:pPr>
        <w:pStyle w:val="Heading1"/>
        <w:rPr>
          <w:color w:val="000000" w:themeColor="text1"/>
        </w:rPr>
      </w:pPr>
      <w:r w:rsidRPr="00DF03CE">
        <w:rPr>
          <w:color w:val="000000" w:themeColor="text1"/>
        </w:rPr>
        <w:lastRenderedPageBreak/>
        <w:t>References</w:t>
      </w:r>
    </w:p>
    <w:p w14:paraId="55EDCDB3"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Ambrose, Stanley H. "Coevolution of Composite Tools, Language, and Other Cognitive Skills." </w:t>
      </w:r>
      <w:r w:rsidRPr="00DF03CE">
        <w:rPr>
          <w:rFonts w:ascii="Times New Roman" w:hAnsi="Times New Roman" w:cs="Times New Roman"/>
          <w:i/>
          <w:iCs/>
          <w:color w:val="000000" w:themeColor="text1"/>
          <w:sz w:val="24"/>
          <w:szCs w:val="24"/>
        </w:rPr>
        <w:t>Current Anthropology</w:t>
      </w:r>
      <w:r w:rsidRPr="00DF03CE">
        <w:rPr>
          <w:rFonts w:ascii="Times New Roman" w:hAnsi="Times New Roman" w:cs="Times New Roman"/>
          <w:color w:val="000000" w:themeColor="text1"/>
          <w:sz w:val="24"/>
          <w:szCs w:val="24"/>
        </w:rPr>
        <w:t xml:space="preserve"> 51, no. S1 (2010): S135–S147.</w:t>
      </w:r>
    </w:p>
    <w:p w14:paraId="1EF91CF4"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Assmann, Jan. </w:t>
      </w:r>
      <w:r w:rsidRPr="00DF03CE">
        <w:rPr>
          <w:rFonts w:ascii="Times New Roman" w:hAnsi="Times New Roman" w:cs="Times New Roman"/>
          <w:i/>
          <w:iCs/>
          <w:color w:val="000000" w:themeColor="text1"/>
          <w:sz w:val="24"/>
          <w:szCs w:val="24"/>
        </w:rPr>
        <w:t>Cultural Memory and Early Civilization: Writing, Remembrance, and Political Imagination</w:t>
      </w:r>
      <w:r w:rsidRPr="00DF03CE">
        <w:rPr>
          <w:rFonts w:ascii="Times New Roman" w:hAnsi="Times New Roman" w:cs="Times New Roman"/>
          <w:color w:val="000000" w:themeColor="text1"/>
          <w:sz w:val="24"/>
          <w:szCs w:val="24"/>
        </w:rPr>
        <w:t>. Cambridge: Cambridge University Press, 2011.</w:t>
      </w:r>
    </w:p>
    <w:p w14:paraId="55D876B6"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Bar-Yosef, Ofer. "The Upper Paleolithic Revolution." </w:t>
      </w:r>
      <w:r w:rsidRPr="00DF03CE">
        <w:rPr>
          <w:rFonts w:ascii="Times New Roman" w:hAnsi="Times New Roman" w:cs="Times New Roman"/>
          <w:i/>
          <w:iCs/>
          <w:color w:val="000000" w:themeColor="text1"/>
          <w:sz w:val="24"/>
          <w:szCs w:val="24"/>
        </w:rPr>
        <w:t>Annual Review of Anthropology</w:t>
      </w:r>
      <w:r w:rsidRPr="00DF03CE">
        <w:rPr>
          <w:rFonts w:ascii="Times New Roman" w:hAnsi="Times New Roman" w:cs="Times New Roman"/>
          <w:color w:val="000000" w:themeColor="text1"/>
          <w:sz w:val="24"/>
          <w:szCs w:val="24"/>
        </w:rPr>
        <w:t xml:space="preserve"> 31 (2002): 363–393.</w:t>
      </w:r>
    </w:p>
    <w:p w14:paraId="6C4EF530"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Bar-Yosef Mayer, Daniella E., Bernard Vandermeersch, and Ofer Bar-Yosef. "Shells and Ochre in Middle Paleolithic Qafzeh Cave, Israel." </w:t>
      </w:r>
      <w:r w:rsidRPr="00DF03CE">
        <w:rPr>
          <w:rFonts w:ascii="Times New Roman" w:hAnsi="Times New Roman" w:cs="Times New Roman"/>
          <w:i/>
          <w:iCs/>
          <w:color w:val="000000" w:themeColor="text1"/>
          <w:sz w:val="24"/>
          <w:szCs w:val="24"/>
        </w:rPr>
        <w:t>Journal of Human Evolution</w:t>
      </w:r>
      <w:r w:rsidRPr="00DF03CE">
        <w:rPr>
          <w:rFonts w:ascii="Times New Roman" w:hAnsi="Times New Roman" w:cs="Times New Roman"/>
          <w:color w:val="000000" w:themeColor="text1"/>
          <w:sz w:val="24"/>
          <w:szCs w:val="24"/>
        </w:rPr>
        <w:t xml:space="preserve"> 56, no. 3 (2009): 307–314.</w:t>
      </w:r>
    </w:p>
    <w:p w14:paraId="2C2120CF"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Bourdieu, Pierre. </w:t>
      </w:r>
      <w:r w:rsidRPr="00DF03CE">
        <w:rPr>
          <w:rFonts w:ascii="Times New Roman" w:hAnsi="Times New Roman" w:cs="Times New Roman"/>
          <w:i/>
          <w:iCs/>
          <w:color w:val="000000" w:themeColor="text1"/>
          <w:sz w:val="24"/>
          <w:szCs w:val="24"/>
        </w:rPr>
        <w:t>The Logic of Practice</w:t>
      </w:r>
      <w:r w:rsidRPr="00DF03CE">
        <w:rPr>
          <w:rFonts w:ascii="Times New Roman" w:hAnsi="Times New Roman" w:cs="Times New Roman"/>
          <w:color w:val="000000" w:themeColor="text1"/>
          <w:sz w:val="24"/>
          <w:szCs w:val="24"/>
        </w:rPr>
        <w:t>. Stanford: Stanford University Press, 1990.</w:t>
      </w:r>
    </w:p>
    <w:p w14:paraId="0DF46E1C"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Cauvin, Jacques. </w:t>
      </w:r>
      <w:r w:rsidRPr="00DF03CE">
        <w:rPr>
          <w:rFonts w:ascii="Times New Roman" w:hAnsi="Times New Roman" w:cs="Times New Roman"/>
          <w:i/>
          <w:iCs/>
          <w:color w:val="000000" w:themeColor="text1"/>
          <w:sz w:val="24"/>
          <w:szCs w:val="24"/>
        </w:rPr>
        <w:t>The Birth of the Gods and the Origins of Agriculture</w:t>
      </w:r>
      <w:r w:rsidRPr="00DF03CE">
        <w:rPr>
          <w:rFonts w:ascii="Times New Roman" w:hAnsi="Times New Roman" w:cs="Times New Roman"/>
          <w:color w:val="000000" w:themeColor="text1"/>
          <w:sz w:val="24"/>
          <w:szCs w:val="24"/>
        </w:rPr>
        <w:t>. Cambridge: Cambridge University Press, 2000.</w:t>
      </w:r>
    </w:p>
    <w:p w14:paraId="7530D188"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Childe, V. Gordon. "The Urban Revolution." </w:t>
      </w:r>
      <w:r w:rsidRPr="00DF03CE">
        <w:rPr>
          <w:rFonts w:ascii="Times New Roman" w:hAnsi="Times New Roman" w:cs="Times New Roman"/>
          <w:i/>
          <w:iCs/>
          <w:color w:val="000000" w:themeColor="text1"/>
          <w:sz w:val="24"/>
          <w:szCs w:val="24"/>
        </w:rPr>
        <w:t>The Town Planning Review</w:t>
      </w:r>
      <w:r w:rsidRPr="00DF03CE">
        <w:rPr>
          <w:rFonts w:ascii="Times New Roman" w:hAnsi="Times New Roman" w:cs="Times New Roman"/>
          <w:color w:val="000000" w:themeColor="text1"/>
          <w:sz w:val="24"/>
          <w:szCs w:val="24"/>
        </w:rPr>
        <w:t xml:space="preserve"> 21, no. 1 (1950): 3–17.</w:t>
      </w:r>
    </w:p>
    <w:p w14:paraId="6CE3326F"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Clark, Andy. </w:t>
      </w:r>
      <w:r w:rsidRPr="00DF03CE">
        <w:rPr>
          <w:rFonts w:ascii="Times New Roman" w:hAnsi="Times New Roman" w:cs="Times New Roman"/>
          <w:i/>
          <w:iCs/>
          <w:color w:val="000000" w:themeColor="text1"/>
          <w:sz w:val="24"/>
          <w:szCs w:val="24"/>
        </w:rPr>
        <w:t>Supersizing the Mind</w:t>
      </w:r>
      <w:r w:rsidRPr="00DF03CE">
        <w:rPr>
          <w:rFonts w:ascii="Times New Roman" w:hAnsi="Times New Roman" w:cs="Times New Roman"/>
          <w:color w:val="000000" w:themeColor="text1"/>
          <w:sz w:val="24"/>
          <w:szCs w:val="24"/>
        </w:rPr>
        <w:t>. Oxford: Oxford University Press, 2008.</w:t>
      </w:r>
    </w:p>
    <w:p w14:paraId="6312B90B"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Clark, Andy, and David Chalmers. "The Extended Mind." </w:t>
      </w:r>
      <w:r w:rsidRPr="00DF03CE">
        <w:rPr>
          <w:rFonts w:ascii="Times New Roman" w:hAnsi="Times New Roman" w:cs="Times New Roman"/>
          <w:i/>
          <w:iCs/>
          <w:color w:val="000000" w:themeColor="text1"/>
          <w:sz w:val="24"/>
          <w:szCs w:val="24"/>
        </w:rPr>
        <w:t>Analysis</w:t>
      </w:r>
      <w:r w:rsidRPr="00DF03CE">
        <w:rPr>
          <w:rFonts w:ascii="Times New Roman" w:hAnsi="Times New Roman" w:cs="Times New Roman"/>
          <w:color w:val="000000" w:themeColor="text1"/>
          <w:sz w:val="24"/>
          <w:szCs w:val="24"/>
        </w:rPr>
        <w:t xml:space="preserve"> 58, no. 1 (1998): 7–19.</w:t>
      </w:r>
    </w:p>
    <w:p w14:paraId="6051CA6A"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Collins, Randall. </w:t>
      </w:r>
      <w:r w:rsidRPr="00DF03CE">
        <w:rPr>
          <w:rFonts w:ascii="Times New Roman" w:hAnsi="Times New Roman" w:cs="Times New Roman"/>
          <w:i/>
          <w:iCs/>
          <w:color w:val="000000" w:themeColor="text1"/>
          <w:sz w:val="24"/>
          <w:szCs w:val="24"/>
        </w:rPr>
        <w:t>Interaction Ritual Chains</w:t>
      </w:r>
      <w:r w:rsidRPr="00DF03CE">
        <w:rPr>
          <w:rFonts w:ascii="Times New Roman" w:hAnsi="Times New Roman" w:cs="Times New Roman"/>
          <w:color w:val="000000" w:themeColor="text1"/>
          <w:sz w:val="24"/>
          <w:szCs w:val="24"/>
        </w:rPr>
        <w:t>. Princeton: Princeton University Press, 2004.</w:t>
      </w:r>
    </w:p>
    <w:p w14:paraId="3CCF222B"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Conard, Nicholas J. "A Female Figurine from the Basal Aurignacian of Hohle Fels Cave in Southwestern Germany." </w:t>
      </w:r>
      <w:r w:rsidRPr="00DF03CE">
        <w:rPr>
          <w:rFonts w:ascii="Times New Roman" w:hAnsi="Times New Roman" w:cs="Times New Roman"/>
          <w:i/>
          <w:iCs/>
          <w:color w:val="000000" w:themeColor="text1"/>
          <w:sz w:val="24"/>
          <w:szCs w:val="24"/>
        </w:rPr>
        <w:t>Nature</w:t>
      </w:r>
      <w:r w:rsidRPr="00DF03CE">
        <w:rPr>
          <w:rFonts w:ascii="Times New Roman" w:hAnsi="Times New Roman" w:cs="Times New Roman"/>
          <w:color w:val="000000" w:themeColor="text1"/>
          <w:sz w:val="24"/>
          <w:szCs w:val="24"/>
        </w:rPr>
        <w:t xml:space="preserve"> 459 (2009): 248–252.</w:t>
      </w:r>
    </w:p>
    <w:p w14:paraId="715EA768"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Coolidge, Frederick L., and Thomas Wynn. "Working Memory, Its Executive Functions, and the Emergence of Modern Thinking." </w:t>
      </w:r>
      <w:r w:rsidRPr="00DF03CE">
        <w:rPr>
          <w:rFonts w:ascii="Times New Roman" w:hAnsi="Times New Roman" w:cs="Times New Roman"/>
          <w:i/>
          <w:iCs/>
          <w:color w:val="000000" w:themeColor="text1"/>
          <w:sz w:val="24"/>
          <w:szCs w:val="24"/>
        </w:rPr>
        <w:t>Cambridge Archaeological Journal</w:t>
      </w:r>
      <w:r w:rsidRPr="00DF03CE">
        <w:rPr>
          <w:rFonts w:ascii="Times New Roman" w:hAnsi="Times New Roman" w:cs="Times New Roman"/>
          <w:color w:val="000000" w:themeColor="text1"/>
          <w:sz w:val="24"/>
          <w:szCs w:val="24"/>
        </w:rPr>
        <w:t xml:space="preserve"> 15, no. 1 (2005): 5–26.</w:t>
      </w:r>
    </w:p>
    <w:p w14:paraId="57492E2D"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d'Errico</w:t>
      </w:r>
      <w:proofErr w:type="spellEnd"/>
      <w:r w:rsidRPr="00DF03CE">
        <w:rPr>
          <w:rFonts w:ascii="Times New Roman" w:hAnsi="Times New Roman" w:cs="Times New Roman"/>
          <w:color w:val="000000" w:themeColor="text1"/>
          <w:sz w:val="24"/>
          <w:szCs w:val="24"/>
        </w:rPr>
        <w:t xml:space="preserve">, Francesco, et al. "Archaeological Evidence for the Emergence of Language, Symbolism, and Music." </w:t>
      </w:r>
      <w:r w:rsidRPr="00DF03CE">
        <w:rPr>
          <w:rFonts w:ascii="Times New Roman" w:hAnsi="Times New Roman" w:cs="Times New Roman"/>
          <w:i/>
          <w:iCs/>
          <w:color w:val="000000" w:themeColor="text1"/>
          <w:sz w:val="24"/>
          <w:szCs w:val="24"/>
        </w:rPr>
        <w:t>Journal of World Prehistory</w:t>
      </w:r>
      <w:r w:rsidRPr="00DF03CE">
        <w:rPr>
          <w:rFonts w:ascii="Times New Roman" w:hAnsi="Times New Roman" w:cs="Times New Roman"/>
          <w:color w:val="000000" w:themeColor="text1"/>
          <w:sz w:val="24"/>
          <w:szCs w:val="24"/>
        </w:rPr>
        <w:t xml:space="preserve"> 17, no. 1 (2003): 1–70.</w:t>
      </w:r>
    </w:p>
    <w:p w14:paraId="2D7D55AE"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Damasio, Antonio. </w:t>
      </w:r>
      <w:r w:rsidRPr="00DF03CE">
        <w:rPr>
          <w:rFonts w:ascii="Times New Roman" w:hAnsi="Times New Roman" w:cs="Times New Roman"/>
          <w:i/>
          <w:iCs/>
          <w:color w:val="000000" w:themeColor="text1"/>
          <w:sz w:val="24"/>
          <w:szCs w:val="24"/>
        </w:rPr>
        <w:t>Descartes' Error: Emotion, Reason, and the Human Brain</w:t>
      </w:r>
      <w:r w:rsidRPr="00DF03CE">
        <w:rPr>
          <w:rFonts w:ascii="Times New Roman" w:hAnsi="Times New Roman" w:cs="Times New Roman"/>
          <w:color w:val="000000" w:themeColor="text1"/>
          <w:sz w:val="24"/>
          <w:szCs w:val="24"/>
        </w:rPr>
        <w:t>. New York: Putnam, 1994.</w:t>
      </w:r>
    </w:p>
    <w:p w14:paraId="3C4CCC2D"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Deacon, Terrence W. </w:t>
      </w:r>
      <w:r w:rsidRPr="00DF03CE">
        <w:rPr>
          <w:rFonts w:ascii="Times New Roman" w:hAnsi="Times New Roman" w:cs="Times New Roman"/>
          <w:i/>
          <w:iCs/>
          <w:color w:val="000000" w:themeColor="text1"/>
          <w:sz w:val="24"/>
          <w:szCs w:val="24"/>
        </w:rPr>
        <w:t>The Symbolic Species: The Co-Evolution of Language and the Brain</w:t>
      </w:r>
      <w:r w:rsidRPr="00DF03CE">
        <w:rPr>
          <w:rFonts w:ascii="Times New Roman" w:hAnsi="Times New Roman" w:cs="Times New Roman"/>
          <w:color w:val="000000" w:themeColor="text1"/>
          <w:sz w:val="24"/>
          <w:szCs w:val="24"/>
        </w:rPr>
        <w:t>. New York: Norton, 1997.</w:t>
      </w:r>
    </w:p>
    <w:p w14:paraId="6941BDA0"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Diamond, Jared. </w:t>
      </w:r>
      <w:r w:rsidRPr="00DF03CE">
        <w:rPr>
          <w:rFonts w:ascii="Times New Roman" w:hAnsi="Times New Roman" w:cs="Times New Roman"/>
          <w:i/>
          <w:iCs/>
          <w:color w:val="000000" w:themeColor="text1"/>
          <w:sz w:val="24"/>
          <w:szCs w:val="24"/>
        </w:rPr>
        <w:t>Guns, Germs, and Steel: The Fates of Human Societies</w:t>
      </w:r>
      <w:r w:rsidRPr="00DF03CE">
        <w:rPr>
          <w:rFonts w:ascii="Times New Roman" w:hAnsi="Times New Roman" w:cs="Times New Roman"/>
          <w:color w:val="000000" w:themeColor="text1"/>
          <w:sz w:val="24"/>
          <w:szCs w:val="24"/>
        </w:rPr>
        <w:t>. New York: Norton, 1997.</w:t>
      </w:r>
    </w:p>
    <w:p w14:paraId="1A1496D1"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Donald, Merlin. </w:t>
      </w:r>
      <w:r w:rsidRPr="00DF03CE">
        <w:rPr>
          <w:rFonts w:ascii="Times New Roman" w:hAnsi="Times New Roman" w:cs="Times New Roman"/>
          <w:i/>
          <w:iCs/>
          <w:color w:val="000000" w:themeColor="text1"/>
          <w:sz w:val="24"/>
          <w:szCs w:val="24"/>
        </w:rPr>
        <w:t>Origins of the Modern Mind: Three Stages in the Evolution of Culture and Cognition</w:t>
      </w:r>
      <w:r w:rsidRPr="00DF03CE">
        <w:rPr>
          <w:rFonts w:ascii="Times New Roman" w:hAnsi="Times New Roman" w:cs="Times New Roman"/>
          <w:color w:val="000000" w:themeColor="text1"/>
          <w:sz w:val="24"/>
          <w:szCs w:val="24"/>
        </w:rPr>
        <w:t>. Cambridge, MA: Harvard University Press, 1991.</w:t>
      </w:r>
    </w:p>
    <w:p w14:paraId="22EA94C9"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Douglas, Mary. </w:t>
      </w:r>
      <w:r w:rsidRPr="00DF03CE">
        <w:rPr>
          <w:rFonts w:ascii="Times New Roman" w:hAnsi="Times New Roman" w:cs="Times New Roman"/>
          <w:i/>
          <w:iCs/>
          <w:color w:val="000000" w:themeColor="text1"/>
          <w:sz w:val="24"/>
          <w:szCs w:val="24"/>
        </w:rPr>
        <w:t>How Institutions Think</w:t>
      </w:r>
      <w:r w:rsidRPr="00DF03CE">
        <w:rPr>
          <w:rFonts w:ascii="Times New Roman" w:hAnsi="Times New Roman" w:cs="Times New Roman"/>
          <w:color w:val="000000" w:themeColor="text1"/>
          <w:sz w:val="24"/>
          <w:szCs w:val="24"/>
        </w:rPr>
        <w:t>. Syracuse: Syracuse University Press, 1986.</w:t>
      </w:r>
    </w:p>
    <w:p w14:paraId="1C5ABA17"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Durkheim, Émile. </w:t>
      </w:r>
      <w:r w:rsidRPr="00DF03CE">
        <w:rPr>
          <w:rFonts w:ascii="Times New Roman" w:hAnsi="Times New Roman" w:cs="Times New Roman"/>
          <w:i/>
          <w:iCs/>
          <w:color w:val="000000" w:themeColor="text1"/>
          <w:sz w:val="24"/>
          <w:szCs w:val="24"/>
        </w:rPr>
        <w:t>The Elementary Forms of Religious Life</w:t>
      </w:r>
      <w:r w:rsidRPr="00DF03CE">
        <w:rPr>
          <w:rFonts w:ascii="Times New Roman" w:hAnsi="Times New Roman" w:cs="Times New Roman"/>
          <w:color w:val="000000" w:themeColor="text1"/>
          <w:sz w:val="24"/>
          <w:szCs w:val="24"/>
        </w:rPr>
        <w:t>. New York: Free Press, 1995 [1912].</w:t>
      </w:r>
    </w:p>
    <w:p w14:paraId="5FA1BA61"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Friston, Karl. "The Free-Energy Principle: A Unified Brain Theory?" </w:t>
      </w:r>
      <w:r w:rsidRPr="00DF03CE">
        <w:rPr>
          <w:rFonts w:ascii="Times New Roman" w:hAnsi="Times New Roman" w:cs="Times New Roman"/>
          <w:i/>
          <w:iCs/>
          <w:color w:val="000000" w:themeColor="text1"/>
          <w:sz w:val="24"/>
          <w:szCs w:val="24"/>
        </w:rPr>
        <w:t>Nature Reviews Neuroscience</w:t>
      </w:r>
      <w:r w:rsidRPr="00DF03CE">
        <w:rPr>
          <w:rFonts w:ascii="Times New Roman" w:hAnsi="Times New Roman" w:cs="Times New Roman"/>
          <w:color w:val="000000" w:themeColor="text1"/>
          <w:sz w:val="24"/>
          <w:szCs w:val="24"/>
        </w:rPr>
        <w:t xml:space="preserve"> 11, no. 2 (2010): 127–138.</w:t>
      </w:r>
    </w:p>
    <w:p w14:paraId="5A77F3A7"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Gamble, Clive. </w:t>
      </w:r>
      <w:r w:rsidRPr="00DF03CE">
        <w:rPr>
          <w:rFonts w:ascii="Times New Roman" w:hAnsi="Times New Roman" w:cs="Times New Roman"/>
          <w:i/>
          <w:iCs/>
          <w:color w:val="000000" w:themeColor="text1"/>
          <w:sz w:val="24"/>
          <w:szCs w:val="24"/>
        </w:rPr>
        <w:t>Settling the Earth: The Archaeology of Deep Human History</w:t>
      </w:r>
      <w:r w:rsidRPr="00DF03CE">
        <w:rPr>
          <w:rFonts w:ascii="Times New Roman" w:hAnsi="Times New Roman" w:cs="Times New Roman"/>
          <w:color w:val="000000" w:themeColor="text1"/>
          <w:sz w:val="24"/>
          <w:szCs w:val="24"/>
        </w:rPr>
        <w:t>. Cambridge: Cambridge University Press, 2013.</w:t>
      </w:r>
    </w:p>
    <w:p w14:paraId="46CB3465"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Giddens, Anthony. </w:t>
      </w:r>
      <w:r w:rsidRPr="00DF03CE">
        <w:rPr>
          <w:rFonts w:ascii="Times New Roman" w:hAnsi="Times New Roman" w:cs="Times New Roman"/>
          <w:i/>
          <w:iCs/>
          <w:color w:val="000000" w:themeColor="text1"/>
          <w:sz w:val="24"/>
          <w:szCs w:val="24"/>
        </w:rPr>
        <w:t>The Constitution of Society</w:t>
      </w:r>
      <w:r w:rsidRPr="00DF03CE">
        <w:rPr>
          <w:rFonts w:ascii="Times New Roman" w:hAnsi="Times New Roman" w:cs="Times New Roman"/>
          <w:color w:val="000000" w:themeColor="text1"/>
          <w:sz w:val="24"/>
          <w:szCs w:val="24"/>
        </w:rPr>
        <w:t>. Cambridge: Polity Press, 1984.</w:t>
      </w:r>
    </w:p>
    <w:p w14:paraId="7CA5E1A7"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Goody, Jack. </w:t>
      </w:r>
      <w:r w:rsidRPr="00DF03CE">
        <w:rPr>
          <w:rFonts w:ascii="Times New Roman" w:hAnsi="Times New Roman" w:cs="Times New Roman"/>
          <w:i/>
          <w:iCs/>
          <w:color w:val="000000" w:themeColor="text1"/>
          <w:sz w:val="24"/>
          <w:szCs w:val="24"/>
        </w:rPr>
        <w:t>The Logic of Writing and the Organization of Society</w:t>
      </w:r>
      <w:r w:rsidRPr="00DF03CE">
        <w:rPr>
          <w:rFonts w:ascii="Times New Roman" w:hAnsi="Times New Roman" w:cs="Times New Roman"/>
          <w:color w:val="000000" w:themeColor="text1"/>
          <w:sz w:val="24"/>
          <w:szCs w:val="24"/>
        </w:rPr>
        <w:t>. Cambridge: Cambridge University Press, 1986.</w:t>
      </w:r>
    </w:p>
    <w:p w14:paraId="02CEB124"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lastRenderedPageBreak/>
        <w:t xml:space="preserve">Henrich, Joseph. </w:t>
      </w:r>
      <w:r w:rsidRPr="00DF03CE">
        <w:rPr>
          <w:rFonts w:ascii="Times New Roman" w:hAnsi="Times New Roman" w:cs="Times New Roman"/>
          <w:i/>
          <w:iCs/>
          <w:color w:val="000000" w:themeColor="text1"/>
          <w:sz w:val="24"/>
          <w:szCs w:val="24"/>
        </w:rPr>
        <w:t>The Secret of Our Success</w:t>
      </w:r>
      <w:r w:rsidRPr="00DF03CE">
        <w:rPr>
          <w:rFonts w:ascii="Times New Roman" w:hAnsi="Times New Roman" w:cs="Times New Roman"/>
          <w:color w:val="000000" w:themeColor="text1"/>
          <w:sz w:val="24"/>
          <w:szCs w:val="24"/>
        </w:rPr>
        <w:t>. Princeton: Princeton University Press, 2016.</w:t>
      </w:r>
    </w:p>
    <w:p w14:paraId="4E6E7417"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Henshilwood</w:t>
      </w:r>
      <w:proofErr w:type="spellEnd"/>
      <w:r w:rsidRPr="00DF03CE">
        <w:rPr>
          <w:rFonts w:ascii="Times New Roman" w:hAnsi="Times New Roman" w:cs="Times New Roman"/>
          <w:color w:val="000000" w:themeColor="text1"/>
          <w:sz w:val="24"/>
          <w:szCs w:val="24"/>
        </w:rPr>
        <w:t xml:space="preserve">, Christopher S., et al. "Engraved Ochres from the Middle Stone Age Levels at Blombos Cave, South Africa." </w:t>
      </w:r>
      <w:r w:rsidRPr="00DF03CE">
        <w:rPr>
          <w:rFonts w:ascii="Times New Roman" w:hAnsi="Times New Roman" w:cs="Times New Roman"/>
          <w:i/>
          <w:iCs/>
          <w:color w:val="000000" w:themeColor="text1"/>
          <w:sz w:val="24"/>
          <w:szCs w:val="24"/>
        </w:rPr>
        <w:t>Journal of Human Evolution</w:t>
      </w:r>
      <w:r w:rsidRPr="00DF03CE">
        <w:rPr>
          <w:rFonts w:ascii="Times New Roman" w:hAnsi="Times New Roman" w:cs="Times New Roman"/>
          <w:color w:val="000000" w:themeColor="text1"/>
          <w:sz w:val="24"/>
          <w:szCs w:val="24"/>
        </w:rPr>
        <w:t xml:space="preserve"> 57, no. 1 (2009): 27–47.</w:t>
      </w:r>
    </w:p>
    <w:p w14:paraId="7E68712B"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Hodder, Ian. </w:t>
      </w:r>
      <w:r w:rsidRPr="00DF03CE">
        <w:rPr>
          <w:rFonts w:ascii="Times New Roman" w:hAnsi="Times New Roman" w:cs="Times New Roman"/>
          <w:i/>
          <w:iCs/>
          <w:color w:val="000000" w:themeColor="text1"/>
          <w:sz w:val="24"/>
          <w:szCs w:val="24"/>
        </w:rPr>
        <w:t>Entangled: An Archaeology of the Relationships between Humans and Things</w:t>
      </w:r>
      <w:r w:rsidRPr="00DF03CE">
        <w:rPr>
          <w:rFonts w:ascii="Times New Roman" w:hAnsi="Times New Roman" w:cs="Times New Roman"/>
          <w:color w:val="000000" w:themeColor="text1"/>
          <w:sz w:val="24"/>
          <w:szCs w:val="24"/>
        </w:rPr>
        <w:t>. Oxford: Wiley-Blackwell, 2012.</w:t>
      </w:r>
    </w:p>
    <w:p w14:paraId="07CA7529"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Houston, Stephen D., ed. </w:t>
      </w:r>
      <w:r w:rsidRPr="00DF03CE">
        <w:rPr>
          <w:rFonts w:ascii="Times New Roman" w:hAnsi="Times New Roman" w:cs="Times New Roman"/>
          <w:i/>
          <w:iCs/>
          <w:color w:val="000000" w:themeColor="text1"/>
          <w:sz w:val="24"/>
          <w:szCs w:val="24"/>
        </w:rPr>
        <w:t>The First Writing: Script Invention as History and Process</w:t>
      </w:r>
      <w:r w:rsidRPr="00DF03CE">
        <w:rPr>
          <w:rFonts w:ascii="Times New Roman" w:hAnsi="Times New Roman" w:cs="Times New Roman"/>
          <w:color w:val="000000" w:themeColor="text1"/>
          <w:sz w:val="24"/>
          <w:szCs w:val="24"/>
        </w:rPr>
        <w:t>. Cambridge: Cambridge University Press, 2004.</w:t>
      </w:r>
    </w:p>
    <w:p w14:paraId="7CFD6701"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Hutchins, Edwin. </w:t>
      </w:r>
      <w:r w:rsidRPr="00DF03CE">
        <w:rPr>
          <w:rFonts w:ascii="Times New Roman" w:hAnsi="Times New Roman" w:cs="Times New Roman"/>
          <w:i/>
          <w:iCs/>
          <w:color w:val="000000" w:themeColor="text1"/>
          <w:sz w:val="24"/>
          <w:szCs w:val="24"/>
        </w:rPr>
        <w:t>Cognition in the Wild</w:t>
      </w:r>
      <w:r w:rsidRPr="00DF03CE">
        <w:rPr>
          <w:rFonts w:ascii="Times New Roman" w:hAnsi="Times New Roman" w:cs="Times New Roman"/>
          <w:color w:val="000000" w:themeColor="text1"/>
          <w:sz w:val="24"/>
          <w:szCs w:val="24"/>
        </w:rPr>
        <w:t>. Cambridge, MA: MIT Press, 1995.</w:t>
      </w:r>
    </w:p>
    <w:p w14:paraId="20658BA6"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Jaubert, Jacques, et al. "Early Neanderthal Constructions Deep in </w:t>
      </w:r>
      <w:proofErr w:type="spellStart"/>
      <w:r w:rsidRPr="00DF03CE">
        <w:rPr>
          <w:rFonts w:ascii="Times New Roman" w:hAnsi="Times New Roman" w:cs="Times New Roman"/>
          <w:color w:val="000000" w:themeColor="text1"/>
          <w:sz w:val="24"/>
          <w:szCs w:val="24"/>
        </w:rPr>
        <w:t>Bruniquel</w:t>
      </w:r>
      <w:proofErr w:type="spellEnd"/>
      <w:r w:rsidRPr="00DF03CE">
        <w:rPr>
          <w:rFonts w:ascii="Times New Roman" w:hAnsi="Times New Roman" w:cs="Times New Roman"/>
          <w:color w:val="000000" w:themeColor="text1"/>
          <w:sz w:val="24"/>
          <w:szCs w:val="24"/>
        </w:rPr>
        <w:t xml:space="preserve"> Cave in Southwestern France." </w:t>
      </w:r>
      <w:r w:rsidRPr="00DF03CE">
        <w:rPr>
          <w:rFonts w:ascii="Times New Roman" w:hAnsi="Times New Roman" w:cs="Times New Roman"/>
          <w:i/>
          <w:iCs/>
          <w:color w:val="000000" w:themeColor="text1"/>
          <w:sz w:val="24"/>
          <w:szCs w:val="24"/>
        </w:rPr>
        <w:t>Nature</w:t>
      </w:r>
      <w:r w:rsidRPr="00DF03CE">
        <w:rPr>
          <w:rFonts w:ascii="Times New Roman" w:hAnsi="Times New Roman" w:cs="Times New Roman"/>
          <w:color w:val="000000" w:themeColor="text1"/>
          <w:sz w:val="24"/>
          <w:szCs w:val="24"/>
        </w:rPr>
        <w:t xml:space="preserve"> 534 (2016): 111–114.</w:t>
      </w:r>
    </w:p>
    <w:p w14:paraId="72AB2390"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Karul, </w:t>
      </w:r>
      <w:proofErr w:type="spellStart"/>
      <w:r w:rsidRPr="00DF03CE">
        <w:rPr>
          <w:rFonts w:ascii="Times New Roman" w:hAnsi="Times New Roman" w:cs="Times New Roman"/>
          <w:color w:val="000000" w:themeColor="text1"/>
          <w:sz w:val="24"/>
          <w:szCs w:val="24"/>
        </w:rPr>
        <w:t>Necmi</w:t>
      </w:r>
      <w:proofErr w:type="spellEnd"/>
      <w:r w:rsidRPr="00DF03CE">
        <w:rPr>
          <w:rFonts w:ascii="Times New Roman" w:hAnsi="Times New Roman" w:cs="Times New Roman"/>
          <w:color w:val="000000" w:themeColor="text1"/>
          <w:sz w:val="24"/>
          <w:szCs w:val="24"/>
        </w:rPr>
        <w:t xml:space="preserve">. </w:t>
      </w:r>
      <w:r w:rsidRPr="00DF03CE">
        <w:rPr>
          <w:rFonts w:ascii="Times New Roman" w:hAnsi="Times New Roman" w:cs="Times New Roman"/>
          <w:i/>
          <w:iCs/>
          <w:color w:val="000000" w:themeColor="text1"/>
          <w:sz w:val="24"/>
          <w:szCs w:val="24"/>
        </w:rPr>
        <w:t xml:space="preserve">Taş </w:t>
      </w:r>
      <w:proofErr w:type="spellStart"/>
      <w:r w:rsidRPr="00DF03CE">
        <w:rPr>
          <w:rFonts w:ascii="Times New Roman" w:hAnsi="Times New Roman" w:cs="Times New Roman"/>
          <w:i/>
          <w:iCs/>
          <w:color w:val="000000" w:themeColor="text1"/>
          <w:sz w:val="24"/>
          <w:szCs w:val="24"/>
        </w:rPr>
        <w:t>Tepeler</w:t>
      </w:r>
      <w:proofErr w:type="spellEnd"/>
      <w:r w:rsidRPr="00DF03CE">
        <w:rPr>
          <w:rFonts w:ascii="Times New Roman" w:hAnsi="Times New Roman" w:cs="Times New Roman"/>
          <w:i/>
          <w:iCs/>
          <w:color w:val="000000" w:themeColor="text1"/>
          <w:sz w:val="24"/>
          <w:szCs w:val="24"/>
        </w:rPr>
        <w:t>: The Land of Great Transformation</w:t>
      </w:r>
      <w:r w:rsidRPr="00DF03CE">
        <w:rPr>
          <w:rFonts w:ascii="Times New Roman" w:hAnsi="Times New Roman" w:cs="Times New Roman"/>
          <w:color w:val="000000" w:themeColor="text1"/>
          <w:sz w:val="24"/>
          <w:szCs w:val="24"/>
        </w:rPr>
        <w:t>. Istanbul: Istanbul University / Turkish Ministry of Culture and Tourism, 2021.</w:t>
      </w:r>
    </w:p>
    <w:p w14:paraId="2A80375C"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Klein, Richard G. </w:t>
      </w:r>
      <w:r w:rsidRPr="00DF03CE">
        <w:rPr>
          <w:rFonts w:ascii="Times New Roman" w:hAnsi="Times New Roman" w:cs="Times New Roman"/>
          <w:i/>
          <w:iCs/>
          <w:color w:val="000000" w:themeColor="text1"/>
          <w:sz w:val="24"/>
          <w:szCs w:val="24"/>
        </w:rPr>
        <w:t>The Human Career: Human Biological and Cultural Origins</w:t>
      </w:r>
      <w:r w:rsidRPr="00DF03CE">
        <w:rPr>
          <w:rFonts w:ascii="Times New Roman" w:hAnsi="Times New Roman" w:cs="Times New Roman"/>
          <w:color w:val="000000" w:themeColor="text1"/>
          <w:sz w:val="24"/>
          <w:szCs w:val="24"/>
        </w:rPr>
        <w:t>. 3rd ed. Chicago: University of Chicago Press, 2009.</w:t>
      </w:r>
    </w:p>
    <w:p w14:paraId="13D89B6B"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Lewis-Williams, David. </w:t>
      </w:r>
      <w:r w:rsidRPr="00DF03CE">
        <w:rPr>
          <w:rFonts w:ascii="Times New Roman" w:hAnsi="Times New Roman" w:cs="Times New Roman"/>
          <w:i/>
          <w:iCs/>
          <w:color w:val="000000" w:themeColor="text1"/>
          <w:sz w:val="24"/>
          <w:szCs w:val="24"/>
        </w:rPr>
        <w:t>The Mind in the Cave</w:t>
      </w:r>
      <w:r w:rsidRPr="00DF03CE">
        <w:rPr>
          <w:rFonts w:ascii="Times New Roman" w:hAnsi="Times New Roman" w:cs="Times New Roman"/>
          <w:color w:val="000000" w:themeColor="text1"/>
          <w:sz w:val="24"/>
          <w:szCs w:val="24"/>
        </w:rPr>
        <w:t>. London: Thames and Hudson, 2002.</w:t>
      </w:r>
    </w:p>
    <w:p w14:paraId="77CF06EC"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Marean, Curtis W., et al. "Early Human Use of Marine Resources and Pigment in South Africa during the Middle Pleistocene." </w:t>
      </w:r>
      <w:r w:rsidRPr="00DF03CE">
        <w:rPr>
          <w:rFonts w:ascii="Times New Roman" w:hAnsi="Times New Roman" w:cs="Times New Roman"/>
          <w:i/>
          <w:iCs/>
          <w:color w:val="000000" w:themeColor="text1"/>
          <w:sz w:val="24"/>
          <w:szCs w:val="24"/>
        </w:rPr>
        <w:t>Nature</w:t>
      </w:r>
      <w:r w:rsidRPr="00DF03CE">
        <w:rPr>
          <w:rFonts w:ascii="Times New Roman" w:hAnsi="Times New Roman" w:cs="Times New Roman"/>
          <w:color w:val="000000" w:themeColor="text1"/>
          <w:sz w:val="24"/>
          <w:szCs w:val="24"/>
        </w:rPr>
        <w:t xml:space="preserve"> 449 (2007): 905–908.</w:t>
      </w:r>
    </w:p>
    <w:p w14:paraId="5C498EA2"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McBrearty, Sally, and Alison S. Brooks. "The Revolution That Wasn't: A New Interpretation of the Origin of Modern Human Behavior." </w:t>
      </w:r>
      <w:r w:rsidRPr="00DF03CE">
        <w:rPr>
          <w:rFonts w:ascii="Times New Roman" w:hAnsi="Times New Roman" w:cs="Times New Roman"/>
          <w:i/>
          <w:iCs/>
          <w:color w:val="000000" w:themeColor="text1"/>
          <w:sz w:val="24"/>
          <w:szCs w:val="24"/>
        </w:rPr>
        <w:t>Journal of Human Evolution</w:t>
      </w:r>
      <w:r w:rsidRPr="00DF03CE">
        <w:rPr>
          <w:rFonts w:ascii="Times New Roman" w:hAnsi="Times New Roman" w:cs="Times New Roman"/>
          <w:color w:val="000000" w:themeColor="text1"/>
          <w:sz w:val="24"/>
          <w:szCs w:val="24"/>
        </w:rPr>
        <w:t xml:space="preserve"> 39, no. 5 (2000): 453–563.</w:t>
      </w:r>
    </w:p>
    <w:p w14:paraId="0CF1C348"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Mellars</w:t>
      </w:r>
      <w:proofErr w:type="spellEnd"/>
      <w:r w:rsidRPr="00DF03CE">
        <w:rPr>
          <w:rFonts w:ascii="Times New Roman" w:hAnsi="Times New Roman" w:cs="Times New Roman"/>
          <w:color w:val="000000" w:themeColor="text1"/>
          <w:sz w:val="24"/>
          <w:szCs w:val="24"/>
        </w:rPr>
        <w:t xml:space="preserve">, Paul. "Why Did Modern Human Populations Disperse from Africa ca. 60,000 Years Ago?" </w:t>
      </w:r>
      <w:r w:rsidRPr="00DF03CE">
        <w:rPr>
          <w:rFonts w:ascii="Times New Roman" w:hAnsi="Times New Roman" w:cs="Times New Roman"/>
          <w:i/>
          <w:iCs/>
          <w:color w:val="000000" w:themeColor="text1"/>
          <w:sz w:val="24"/>
          <w:szCs w:val="24"/>
        </w:rPr>
        <w:t>Proceedings of the National Academy of Sciences</w:t>
      </w:r>
      <w:r w:rsidRPr="00DF03CE">
        <w:rPr>
          <w:rFonts w:ascii="Times New Roman" w:hAnsi="Times New Roman" w:cs="Times New Roman"/>
          <w:color w:val="000000" w:themeColor="text1"/>
          <w:sz w:val="24"/>
          <w:szCs w:val="24"/>
        </w:rPr>
        <w:t xml:space="preserve"> 103, no. 25 (2006): 9381–9386.</w:t>
      </w:r>
    </w:p>
    <w:p w14:paraId="31DD603F"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Mithen</w:t>
      </w:r>
      <w:proofErr w:type="spellEnd"/>
      <w:r w:rsidRPr="00DF03CE">
        <w:rPr>
          <w:rFonts w:ascii="Times New Roman" w:hAnsi="Times New Roman" w:cs="Times New Roman"/>
          <w:color w:val="000000" w:themeColor="text1"/>
          <w:sz w:val="24"/>
          <w:szCs w:val="24"/>
        </w:rPr>
        <w:t xml:space="preserve">, Steven. </w:t>
      </w:r>
      <w:r w:rsidRPr="00DF03CE">
        <w:rPr>
          <w:rFonts w:ascii="Times New Roman" w:hAnsi="Times New Roman" w:cs="Times New Roman"/>
          <w:i/>
          <w:iCs/>
          <w:color w:val="000000" w:themeColor="text1"/>
          <w:sz w:val="24"/>
          <w:szCs w:val="24"/>
        </w:rPr>
        <w:t>The Prehistory of the Mind</w:t>
      </w:r>
      <w:r w:rsidRPr="00DF03CE">
        <w:rPr>
          <w:rFonts w:ascii="Times New Roman" w:hAnsi="Times New Roman" w:cs="Times New Roman"/>
          <w:color w:val="000000" w:themeColor="text1"/>
          <w:sz w:val="24"/>
          <w:szCs w:val="24"/>
        </w:rPr>
        <w:t>. London: Thames and Hudson, 1996.</w:t>
      </w:r>
    </w:p>
    <w:p w14:paraId="14C2287B"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North, Douglass C. </w:t>
      </w:r>
      <w:r w:rsidRPr="00DF03CE">
        <w:rPr>
          <w:rFonts w:ascii="Times New Roman" w:hAnsi="Times New Roman" w:cs="Times New Roman"/>
          <w:i/>
          <w:iCs/>
          <w:color w:val="000000" w:themeColor="text1"/>
          <w:sz w:val="24"/>
          <w:szCs w:val="24"/>
        </w:rPr>
        <w:t>Institutions, Institutional Change and Economic Performance</w:t>
      </w:r>
      <w:r w:rsidRPr="00DF03CE">
        <w:rPr>
          <w:rFonts w:ascii="Times New Roman" w:hAnsi="Times New Roman" w:cs="Times New Roman"/>
          <w:color w:val="000000" w:themeColor="text1"/>
          <w:sz w:val="24"/>
          <w:szCs w:val="24"/>
        </w:rPr>
        <w:t>. Cambridge: Cambridge University Press, 1990.</w:t>
      </w:r>
    </w:p>
    <w:p w14:paraId="7797B71E"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Oktaviana</w:t>
      </w:r>
      <w:proofErr w:type="spellEnd"/>
      <w:r w:rsidRPr="00DF03CE">
        <w:rPr>
          <w:rFonts w:ascii="Times New Roman" w:hAnsi="Times New Roman" w:cs="Times New Roman"/>
          <w:color w:val="000000" w:themeColor="text1"/>
          <w:sz w:val="24"/>
          <w:szCs w:val="24"/>
        </w:rPr>
        <w:t xml:space="preserve">, Adhi Agus, et al. "Narrative Cave Art in Indonesia by 51,200 Years Ago." </w:t>
      </w:r>
      <w:r w:rsidRPr="00DF03CE">
        <w:rPr>
          <w:rFonts w:ascii="Times New Roman" w:hAnsi="Times New Roman" w:cs="Times New Roman"/>
          <w:i/>
          <w:iCs/>
          <w:color w:val="000000" w:themeColor="text1"/>
          <w:sz w:val="24"/>
          <w:szCs w:val="24"/>
        </w:rPr>
        <w:t>Nature</w:t>
      </w:r>
      <w:r w:rsidRPr="00DF03CE">
        <w:rPr>
          <w:rFonts w:ascii="Times New Roman" w:hAnsi="Times New Roman" w:cs="Times New Roman"/>
          <w:color w:val="000000" w:themeColor="text1"/>
          <w:sz w:val="24"/>
          <w:szCs w:val="24"/>
        </w:rPr>
        <w:t xml:space="preserve"> 631 (2024): 814–818.</w:t>
      </w:r>
    </w:p>
    <w:p w14:paraId="12590232"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Olson, David R. </w:t>
      </w:r>
      <w:r w:rsidRPr="00DF03CE">
        <w:rPr>
          <w:rFonts w:ascii="Times New Roman" w:hAnsi="Times New Roman" w:cs="Times New Roman"/>
          <w:i/>
          <w:iCs/>
          <w:color w:val="000000" w:themeColor="text1"/>
          <w:sz w:val="24"/>
          <w:szCs w:val="24"/>
        </w:rPr>
        <w:t>The World on Paper</w:t>
      </w:r>
      <w:r w:rsidRPr="00DF03CE">
        <w:rPr>
          <w:rFonts w:ascii="Times New Roman" w:hAnsi="Times New Roman" w:cs="Times New Roman"/>
          <w:color w:val="000000" w:themeColor="text1"/>
          <w:sz w:val="24"/>
          <w:szCs w:val="24"/>
        </w:rPr>
        <w:t>. Cambridge: Cambridge University Press, 1994.</w:t>
      </w:r>
    </w:p>
    <w:p w14:paraId="7BB5FB39"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Ong, Walter J. </w:t>
      </w:r>
      <w:r w:rsidRPr="00DF03CE">
        <w:rPr>
          <w:rFonts w:ascii="Times New Roman" w:hAnsi="Times New Roman" w:cs="Times New Roman"/>
          <w:i/>
          <w:iCs/>
          <w:color w:val="000000" w:themeColor="text1"/>
          <w:sz w:val="24"/>
          <w:szCs w:val="24"/>
        </w:rPr>
        <w:t>Orality and Literacy: The Technologizing of the Word</w:t>
      </w:r>
      <w:r w:rsidRPr="00DF03CE">
        <w:rPr>
          <w:rFonts w:ascii="Times New Roman" w:hAnsi="Times New Roman" w:cs="Times New Roman"/>
          <w:color w:val="000000" w:themeColor="text1"/>
          <w:sz w:val="24"/>
          <w:szCs w:val="24"/>
        </w:rPr>
        <w:t>. London: Routledge, 1982.</w:t>
      </w:r>
    </w:p>
    <w:p w14:paraId="0F73A95A"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Postgate, J. N. </w:t>
      </w:r>
      <w:r w:rsidRPr="00DF03CE">
        <w:rPr>
          <w:rFonts w:ascii="Times New Roman" w:hAnsi="Times New Roman" w:cs="Times New Roman"/>
          <w:i/>
          <w:iCs/>
          <w:color w:val="000000" w:themeColor="text1"/>
          <w:sz w:val="24"/>
          <w:szCs w:val="24"/>
        </w:rPr>
        <w:t>Early Mesopotamia: Society and Economy at the Dawn of History</w:t>
      </w:r>
      <w:r w:rsidRPr="00DF03CE">
        <w:rPr>
          <w:rFonts w:ascii="Times New Roman" w:hAnsi="Times New Roman" w:cs="Times New Roman"/>
          <w:color w:val="000000" w:themeColor="text1"/>
          <w:sz w:val="24"/>
          <w:szCs w:val="24"/>
        </w:rPr>
        <w:t>. London: Routledge, 1994.</w:t>
      </w:r>
    </w:p>
    <w:p w14:paraId="6334ADE5"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Potts, Richard. "Environmental Hypotheses of Hominin Evolution." </w:t>
      </w:r>
      <w:r w:rsidRPr="00DF03CE">
        <w:rPr>
          <w:rFonts w:ascii="Times New Roman" w:hAnsi="Times New Roman" w:cs="Times New Roman"/>
          <w:i/>
          <w:iCs/>
          <w:color w:val="000000" w:themeColor="text1"/>
          <w:sz w:val="24"/>
          <w:szCs w:val="24"/>
        </w:rPr>
        <w:t>Yearbook of Physical Anthropology</w:t>
      </w:r>
      <w:r w:rsidRPr="00DF03CE">
        <w:rPr>
          <w:rFonts w:ascii="Times New Roman" w:hAnsi="Times New Roman" w:cs="Times New Roman"/>
          <w:color w:val="000000" w:themeColor="text1"/>
          <w:sz w:val="24"/>
          <w:szCs w:val="24"/>
        </w:rPr>
        <w:t xml:space="preserve"> 41 (1998): 93–136.</w:t>
      </w:r>
    </w:p>
    <w:p w14:paraId="77001FFA"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Rappaport, Roy A. </w:t>
      </w:r>
      <w:r w:rsidRPr="00DF03CE">
        <w:rPr>
          <w:rFonts w:ascii="Times New Roman" w:hAnsi="Times New Roman" w:cs="Times New Roman"/>
          <w:i/>
          <w:iCs/>
          <w:color w:val="000000" w:themeColor="text1"/>
          <w:sz w:val="24"/>
          <w:szCs w:val="24"/>
        </w:rPr>
        <w:t>Ritual and Religion in the Making of Humanity</w:t>
      </w:r>
      <w:r w:rsidRPr="00DF03CE">
        <w:rPr>
          <w:rFonts w:ascii="Times New Roman" w:hAnsi="Times New Roman" w:cs="Times New Roman"/>
          <w:color w:val="000000" w:themeColor="text1"/>
          <w:sz w:val="24"/>
          <w:szCs w:val="24"/>
        </w:rPr>
        <w:t>. Cambridge: Cambridge University Press, 1999.</w:t>
      </w:r>
    </w:p>
    <w:p w14:paraId="5AD7A857"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Renfrew, Colin. </w:t>
      </w:r>
      <w:r w:rsidRPr="00DF03CE">
        <w:rPr>
          <w:rFonts w:ascii="Times New Roman" w:hAnsi="Times New Roman" w:cs="Times New Roman"/>
          <w:i/>
          <w:iCs/>
          <w:color w:val="000000" w:themeColor="text1"/>
          <w:sz w:val="24"/>
          <w:szCs w:val="24"/>
        </w:rPr>
        <w:t>Figuring It Out: The Parallel Visions of Artists and Archaeologists</w:t>
      </w:r>
      <w:r w:rsidRPr="00DF03CE">
        <w:rPr>
          <w:rFonts w:ascii="Times New Roman" w:hAnsi="Times New Roman" w:cs="Times New Roman"/>
          <w:color w:val="000000" w:themeColor="text1"/>
          <w:sz w:val="24"/>
          <w:szCs w:val="24"/>
        </w:rPr>
        <w:t>. London: Thames and Hudson, 2003.</w:t>
      </w:r>
    </w:p>
    <w:p w14:paraId="1E61E873"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Roebroeks</w:t>
      </w:r>
      <w:proofErr w:type="spellEnd"/>
      <w:r w:rsidRPr="00DF03CE">
        <w:rPr>
          <w:rFonts w:ascii="Times New Roman" w:hAnsi="Times New Roman" w:cs="Times New Roman"/>
          <w:color w:val="000000" w:themeColor="text1"/>
          <w:sz w:val="24"/>
          <w:szCs w:val="24"/>
        </w:rPr>
        <w:t xml:space="preserve">, Wil, et al. "Use of Red Ochre by Early Neandertals." </w:t>
      </w:r>
      <w:r w:rsidRPr="00DF03CE">
        <w:rPr>
          <w:rFonts w:ascii="Times New Roman" w:hAnsi="Times New Roman" w:cs="Times New Roman"/>
          <w:i/>
          <w:iCs/>
          <w:color w:val="000000" w:themeColor="text1"/>
          <w:sz w:val="24"/>
          <w:szCs w:val="24"/>
        </w:rPr>
        <w:t>Proceedings of the National Academy of Sciences</w:t>
      </w:r>
      <w:r w:rsidRPr="00DF03CE">
        <w:rPr>
          <w:rFonts w:ascii="Times New Roman" w:hAnsi="Times New Roman" w:cs="Times New Roman"/>
          <w:color w:val="000000" w:themeColor="text1"/>
          <w:sz w:val="24"/>
          <w:szCs w:val="24"/>
        </w:rPr>
        <w:t xml:space="preserve"> 109, no. 6 (2012): 1889–1894.</w:t>
      </w:r>
    </w:p>
    <w:p w14:paraId="2D1F4B43" w14:textId="77777777" w:rsidR="00C96F90" w:rsidRPr="00DF03CE" w:rsidRDefault="00000000">
      <w:pPr>
        <w:spacing w:after="60"/>
        <w:ind w:left="720" w:hanging="720"/>
        <w:rPr>
          <w:color w:val="000000" w:themeColor="text1"/>
          <w:lang w:val="it-IT"/>
        </w:rPr>
      </w:pPr>
      <w:r w:rsidRPr="00DF03CE">
        <w:rPr>
          <w:rFonts w:ascii="Times New Roman" w:hAnsi="Times New Roman" w:cs="Times New Roman"/>
          <w:color w:val="000000" w:themeColor="text1"/>
          <w:sz w:val="24"/>
          <w:szCs w:val="24"/>
        </w:rPr>
        <w:t>Schmidt, Klaus. "</w:t>
      </w:r>
      <w:proofErr w:type="spellStart"/>
      <w:r w:rsidRPr="00DF03CE">
        <w:rPr>
          <w:rFonts w:ascii="Times New Roman" w:hAnsi="Times New Roman" w:cs="Times New Roman"/>
          <w:color w:val="000000" w:themeColor="text1"/>
          <w:sz w:val="24"/>
          <w:szCs w:val="24"/>
        </w:rPr>
        <w:t>Göbekli</w:t>
      </w:r>
      <w:proofErr w:type="spellEnd"/>
      <w:r w:rsidRPr="00DF03CE">
        <w:rPr>
          <w:rFonts w:ascii="Times New Roman" w:hAnsi="Times New Roman" w:cs="Times New Roman"/>
          <w:color w:val="000000" w:themeColor="text1"/>
          <w:sz w:val="24"/>
          <w:szCs w:val="24"/>
        </w:rPr>
        <w:t xml:space="preserve"> Tepe: The Stone Age Sanctuaries." </w:t>
      </w:r>
      <w:r w:rsidRPr="00DF03CE">
        <w:rPr>
          <w:rFonts w:ascii="Times New Roman" w:hAnsi="Times New Roman" w:cs="Times New Roman"/>
          <w:i/>
          <w:iCs/>
          <w:color w:val="000000" w:themeColor="text1"/>
          <w:sz w:val="24"/>
          <w:szCs w:val="24"/>
          <w:lang w:val="it-IT"/>
        </w:rPr>
        <w:t xml:space="preserve">Documenta </w:t>
      </w:r>
      <w:proofErr w:type="spellStart"/>
      <w:r w:rsidRPr="00DF03CE">
        <w:rPr>
          <w:rFonts w:ascii="Times New Roman" w:hAnsi="Times New Roman" w:cs="Times New Roman"/>
          <w:i/>
          <w:iCs/>
          <w:color w:val="000000" w:themeColor="text1"/>
          <w:sz w:val="24"/>
          <w:szCs w:val="24"/>
          <w:lang w:val="it-IT"/>
        </w:rPr>
        <w:t>Praehistorica</w:t>
      </w:r>
      <w:proofErr w:type="spellEnd"/>
      <w:r w:rsidRPr="00DF03CE">
        <w:rPr>
          <w:rFonts w:ascii="Times New Roman" w:hAnsi="Times New Roman" w:cs="Times New Roman"/>
          <w:color w:val="000000" w:themeColor="text1"/>
          <w:sz w:val="24"/>
          <w:szCs w:val="24"/>
          <w:lang w:val="it-IT"/>
        </w:rPr>
        <w:t xml:space="preserve"> 37 (2010): 239–256.</w:t>
      </w:r>
    </w:p>
    <w:p w14:paraId="249707C2"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lang w:val="it-IT"/>
        </w:rPr>
        <w:lastRenderedPageBreak/>
        <w:t>Schmandt-</w:t>
      </w:r>
      <w:proofErr w:type="spellStart"/>
      <w:r w:rsidRPr="00DF03CE">
        <w:rPr>
          <w:rFonts w:ascii="Times New Roman" w:hAnsi="Times New Roman" w:cs="Times New Roman"/>
          <w:color w:val="000000" w:themeColor="text1"/>
          <w:sz w:val="24"/>
          <w:szCs w:val="24"/>
          <w:lang w:val="it-IT"/>
        </w:rPr>
        <w:t>Besserat</w:t>
      </w:r>
      <w:proofErr w:type="spellEnd"/>
      <w:r w:rsidRPr="00DF03CE">
        <w:rPr>
          <w:rFonts w:ascii="Times New Roman" w:hAnsi="Times New Roman" w:cs="Times New Roman"/>
          <w:color w:val="000000" w:themeColor="text1"/>
          <w:sz w:val="24"/>
          <w:szCs w:val="24"/>
          <w:lang w:val="it-IT"/>
        </w:rPr>
        <w:t xml:space="preserve">, Denise. </w:t>
      </w:r>
      <w:r w:rsidRPr="00DF03CE">
        <w:rPr>
          <w:rFonts w:ascii="Times New Roman" w:hAnsi="Times New Roman" w:cs="Times New Roman"/>
          <w:i/>
          <w:iCs/>
          <w:color w:val="000000" w:themeColor="text1"/>
          <w:sz w:val="24"/>
          <w:szCs w:val="24"/>
        </w:rPr>
        <w:t>Before Writing: From Counting to Cuneiform</w:t>
      </w:r>
      <w:r w:rsidRPr="00DF03CE">
        <w:rPr>
          <w:rFonts w:ascii="Times New Roman" w:hAnsi="Times New Roman" w:cs="Times New Roman"/>
          <w:color w:val="000000" w:themeColor="text1"/>
          <w:sz w:val="24"/>
          <w:szCs w:val="24"/>
        </w:rPr>
        <w:t>. Austin: University of Texas Press, 1992.</w:t>
      </w:r>
    </w:p>
    <w:p w14:paraId="51115CB7"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Scott, W. Richard. </w:t>
      </w:r>
      <w:r w:rsidRPr="00DF03CE">
        <w:rPr>
          <w:rFonts w:ascii="Times New Roman" w:hAnsi="Times New Roman" w:cs="Times New Roman"/>
          <w:i/>
          <w:iCs/>
          <w:color w:val="000000" w:themeColor="text1"/>
          <w:sz w:val="24"/>
          <w:szCs w:val="24"/>
        </w:rPr>
        <w:t>Institutions and Organizations: Ideas, Interests and Identities</w:t>
      </w:r>
      <w:r w:rsidRPr="00DF03CE">
        <w:rPr>
          <w:rFonts w:ascii="Times New Roman" w:hAnsi="Times New Roman" w:cs="Times New Roman"/>
          <w:color w:val="000000" w:themeColor="text1"/>
          <w:sz w:val="24"/>
          <w:szCs w:val="24"/>
        </w:rPr>
        <w:t>. 4th ed. Thousand Oaks: SAGE, 2014.</w:t>
      </w:r>
    </w:p>
    <w:p w14:paraId="221EBE03"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Shea, John J. "Homo Sapiens Is as Homo Sapiens Was." </w:t>
      </w:r>
      <w:r w:rsidRPr="00DF03CE">
        <w:rPr>
          <w:rFonts w:ascii="Times New Roman" w:hAnsi="Times New Roman" w:cs="Times New Roman"/>
          <w:i/>
          <w:iCs/>
          <w:color w:val="000000" w:themeColor="text1"/>
          <w:sz w:val="24"/>
          <w:szCs w:val="24"/>
        </w:rPr>
        <w:t>Current Anthropology</w:t>
      </w:r>
      <w:r w:rsidRPr="00DF03CE">
        <w:rPr>
          <w:rFonts w:ascii="Times New Roman" w:hAnsi="Times New Roman" w:cs="Times New Roman"/>
          <w:color w:val="000000" w:themeColor="text1"/>
          <w:sz w:val="24"/>
          <w:szCs w:val="24"/>
        </w:rPr>
        <w:t xml:space="preserve"> 52, no. 1 (2011): 1–35.</w:t>
      </w:r>
    </w:p>
    <w:p w14:paraId="106C314A"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Sterelny</w:t>
      </w:r>
      <w:proofErr w:type="spellEnd"/>
      <w:r w:rsidRPr="00DF03CE">
        <w:rPr>
          <w:rFonts w:ascii="Times New Roman" w:hAnsi="Times New Roman" w:cs="Times New Roman"/>
          <w:color w:val="000000" w:themeColor="text1"/>
          <w:sz w:val="24"/>
          <w:szCs w:val="24"/>
        </w:rPr>
        <w:t xml:space="preserve">, Kim. </w:t>
      </w:r>
      <w:r w:rsidRPr="00DF03CE">
        <w:rPr>
          <w:rFonts w:ascii="Times New Roman" w:hAnsi="Times New Roman" w:cs="Times New Roman"/>
          <w:i/>
          <w:iCs/>
          <w:color w:val="000000" w:themeColor="text1"/>
          <w:sz w:val="24"/>
          <w:szCs w:val="24"/>
        </w:rPr>
        <w:t>The Evolved Apprentice: How Evolution Made Humans Unique</w:t>
      </w:r>
      <w:r w:rsidRPr="00DF03CE">
        <w:rPr>
          <w:rFonts w:ascii="Times New Roman" w:hAnsi="Times New Roman" w:cs="Times New Roman"/>
          <w:color w:val="000000" w:themeColor="text1"/>
          <w:sz w:val="24"/>
          <w:szCs w:val="24"/>
        </w:rPr>
        <w:t>. Cambridge, MA: MIT Press, 2012.</w:t>
      </w:r>
    </w:p>
    <w:p w14:paraId="21ABA034"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Stout, Dietrich, Erin Hecht, and Thierry Chaminade. "Cognitive Foundations of Tool Use." </w:t>
      </w:r>
      <w:r w:rsidRPr="00DF03CE">
        <w:rPr>
          <w:rFonts w:ascii="Times New Roman" w:hAnsi="Times New Roman" w:cs="Times New Roman"/>
          <w:i/>
          <w:iCs/>
          <w:color w:val="000000" w:themeColor="text1"/>
          <w:sz w:val="24"/>
          <w:szCs w:val="24"/>
        </w:rPr>
        <w:t>Current Anthropology</w:t>
      </w:r>
      <w:r w:rsidRPr="00DF03CE">
        <w:rPr>
          <w:rFonts w:ascii="Times New Roman" w:hAnsi="Times New Roman" w:cs="Times New Roman"/>
          <w:color w:val="000000" w:themeColor="text1"/>
          <w:sz w:val="24"/>
          <w:szCs w:val="24"/>
        </w:rPr>
        <w:t xml:space="preserve"> 59, no. 2 (2018): 205–227.</w:t>
      </w:r>
    </w:p>
    <w:p w14:paraId="502DA6D5"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Tattersall, Ian. </w:t>
      </w:r>
      <w:r w:rsidRPr="00DF03CE">
        <w:rPr>
          <w:rFonts w:ascii="Times New Roman" w:hAnsi="Times New Roman" w:cs="Times New Roman"/>
          <w:i/>
          <w:iCs/>
          <w:color w:val="000000" w:themeColor="text1"/>
          <w:sz w:val="24"/>
          <w:szCs w:val="24"/>
        </w:rPr>
        <w:t>Becoming Human: Evolution and Human Uniqueness</w:t>
      </w:r>
      <w:r w:rsidRPr="00DF03CE">
        <w:rPr>
          <w:rFonts w:ascii="Times New Roman" w:hAnsi="Times New Roman" w:cs="Times New Roman"/>
          <w:color w:val="000000" w:themeColor="text1"/>
          <w:sz w:val="24"/>
          <w:szCs w:val="24"/>
        </w:rPr>
        <w:t>. New York: Harcourt Brace, 1998.</w:t>
      </w:r>
    </w:p>
    <w:p w14:paraId="02661F36"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Tomasello, Michael. </w:t>
      </w:r>
      <w:r w:rsidRPr="00DF03CE">
        <w:rPr>
          <w:rFonts w:ascii="Times New Roman" w:hAnsi="Times New Roman" w:cs="Times New Roman"/>
          <w:i/>
          <w:iCs/>
          <w:color w:val="000000" w:themeColor="text1"/>
          <w:sz w:val="24"/>
          <w:szCs w:val="24"/>
        </w:rPr>
        <w:t>The Cultural Origins of Human Cognition</w:t>
      </w:r>
      <w:r w:rsidRPr="00DF03CE">
        <w:rPr>
          <w:rFonts w:ascii="Times New Roman" w:hAnsi="Times New Roman" w:cs="Times New Roman"/>
          <w:color w:val="000000" w:themeColor="text1"/>
          <w:sz w:val="24"/>
          <w:szCs w:val="24"/>
        </w:rPr>
        <w:t>. Cambridge, MA: Harvard University Press, 1999.</w:t>
      </w:r>
    </w:p>
    <w:p w14:paraId="22C80853"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Trigger, Bruce G. </w:t>
      </w:r>
      <w:r w:rsidRPr="00DF03CE">
        <w:rPr>
          <w:rFonts w:ascii="Times New Roman" w:hAnsi="Times New Roman" w:cs="Times New Roman"/>
          <w:i/>
          <w:iCs/>
          <w:color w:val="000000" w:themeColor="text1"/>
          <w:sz w:val="24"/>
          <w:szCs w:val="24"/>
        </w:rPr>
        <w:t>Understanding Early Civilizations: A Comparative Study</w:t>
      </w:r>
      <w:r w:rsidRPr="00DF03CE">
        <w:rPr>
          <w:rFonts w:ascii="Times New Roman" w:hAnsi="Times New Roman" w:cs="Times New Roman"/>
          <w:color w:val="000000" w:themeColor="text1"/>
          <w:sz w:val="24"/>
          <w:szCs w:val="24"/>
        </w:rPr>
        <w:t>. Cambridge: Cambridge University Press, 2003.</w:t>
      </w:r>
    </w:p>
    <w:p w14:paraId="6EF42A59"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Turner, Victor. </w:t>
      </w:r>
      <w:r w:rsidRPr="00DF03CE">
        <w:rPr>
          <w:rFonts w:ascii="Times New Roman" w:hAnsi="Times New Roman" w:cs="Times New Roman"/>
          <w:i/>
          <w:iCs/>
          <w:color w:val="000000" w:themeColor="text1"/>
          <w:sz w:val="24"/>
          <w:szCs w:val="24"/>
        </w:rPr>
        <w:t>The Ritual Process: Structure and Anti-Structure</w:t>
      </w:r>
      <w:r w:rsidRPr="00DF03CE">
        <w:rPr>
          <w:rFonts w:ascii="Times New Roman" w:hAnsi="Times New Roman" w:cs="Times New Roman"/>
          <w:color w:val="000000" w:themeColor="text1"/>
          <w:sz w:val="24"/>
          <w:szCs w:val="24"/>
        </w:rPr>
        <w:t>. New York: Aldine, 1969.</w:t>
      </w:r>
    </w:p>
    <w:p w14:paraId="28099324"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United Nations. </w:t>
      </w:r>
      <w:r w:rsidRPr="00DF03CE">
        <w:rPr>
          <w:rFonts w:ascii="Times New Roman" w:hAnsi="Times New Roman" w:cs="Times New Roman"/>
          <w:i/>
          <w:iCs/>
          <w:color w:val="000000" w:themeColor="text1"/>
          <w:sz w:val="24"/>
          <w:szCs w:val="24"/>
        </w:rPr>
        <w:t>The Sustainable Development Goals Report 2023</w:t>
      </w:r>
      <w:r w:rsidRPr="00DF03CE">
        <w:rPr>
          <w:rFonts w:ascii="Times New Roman" w:hAnsi="Times New Roman" w:cs="Times New Roman"/>
          <w:color w:val="000000" w:themeColor="text1"/>
          <w:sz w:val="24"/>
          <w:szCs w:val="24"/>
        </w:rPr>
        <w:t>. New York: United Nations, 2023.</w:t>
      </w:r>
    </w:p>
    <w:p w14:paraId="125E9AD5"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Varela, Francisco J., Evan Thompson, and Eleanor Rosch. </w:t>
      </w:r>
      <w:r w:rsidRPr="00DF03CE">
        <w:rPr>
          <w:rFonts w:ascii="Times New Roman" w:hAnsi="Times New Roman" w:cs="Times New Roman"/>
          <w:i/>
          <w:iCs/>
          <w:color w:val="000000" w:themeColor="text1"/>
          <w:sz w:val="24"/>
          <w:szCs w:val="24"/>
        </w:rPr>
        <w:t>The Embodied Mind: Cognitive Science and Human Experience</w:t>
      </w:r>
      <w:r w:rsidRPr="00DF03CE">
        <w:rPr>
          <w:rFonts w:ascii="Times New Roman" w:hAnsi="Times New Roman" w:cs="Times New Roman"/>
          <w:color w:val="000000" w:themeColor="text1"/>
          <w:sz w:val="24"/>
          <w:szCs w:val="24"/>
        </w:rPr>
        <w:t>. Cambridge, MA: MIT Press, 1991.</w:t>
      </w:r>
    </w:p>
    <w:p w14:paraId="52668D2F"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Vondoom, Anthony. "The Deep Symbolic Systems Model (DSSM): A Cognitive–Ritual Framework for Early Monumentality and Cultural Continuity." SSRN, 2025. https://doi.org/10.2139/ssrn.6003734.</w:t>
      </w:r>
    </w:p>
    <w:p w14:paraId="43431991"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Weber, Max. </w:t>
      </w:r>
      <w:r w:rsidRPr="00DF03CE">
        <w:rPr>
          <w:rFonts w:ascii="Times New Roman" w:hAnsi="Times New Roman" w:cs="Times New Roman"/>
          <w:i/>
          <w:iCs/>
          <w:color w:val="000000" w:themeColor="text1"/>
          <w:sz w:val="24"/>
          <w:szCs w:val="24"/>
        </w:rPr>
        <w:t>Economy and Society</w:t>
      </w:r>
      <w:r w:rsidRPr="00DF03CE">
        <w:rPr>
          <w:rFonts w:ascii="Times New Roman" w:hAnsi="Times New Roman" w:cs="Times New Roman"/>
          <w:color w:val="000000" w:themeColor="text1"/>
          <w:sz w:val="24"/>
          <w:szCs w:val="24"/>
        </w:rPr>
        <w:t>. Berkeley: University of California Press, 1978.</w:t>
      </w:r>
    </w:p>
    <w:p w14:paraId="0038B32F"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Wynn, Thomas, and Frederick L. Coolidge. "The Expert Neandertal Mind." </w:t>
      </w:r>
      <w:r w:rsidRPr="00DF03CE">
        <w:rPr>
          <w:rFonts w:ascii="Times New Roman" w:hAnsi="Times New Roman" w:cs="Times New Roman"/>
          <w:i/>
          <w:iCs/>
          <w:color w:val="000000" w:themeColor="text1"/>
          <w:sz w:val="24"/>
          <w:szCs w:val="24"/>
        </w:rPr>
        <w:t>Journal of Human Evolution</w:t>
      </w:r>
      <w:r w:rsidRPr="00DF03CE">
        <w:rPr>
          <w:rFonts w:ascii="Times New Roman" w:hAnsi="Times New Roman" w:cs="Times New Roman"/>
          <w:color w:val="000000" w:themeColor="text1"/>
          <w:sz w:val="24"/>
          <w:szCs w:val="24"/>
        </w:rPr>
        <w:t xml:space="preserve"> 46, no. 4 (2004): 467–487.</w:t>
      </w:r>
    </w:p>
    <w:p w14:paraId="1A3ECDF2" w14:textId="77777777" w:rsidR="00C96F90" w:rsidRPr="00DF03CE" w:rsidRDefault="00000000">
      <w:pPr>
        <w:spacing w:after="60"/>
        <w:ind w:left="720" w:hanging="720"/>
        <w:rPr>
          <w:color w:val="000000" w:themeColor="text1"/>
        </w:rPr>
      </w:pPr>
      <w:r w:rsidRPr="00DF03CE">
        <w:rPr>
          <w:rFonts w:ascii="Times New Roman" w:hAnsi="Times New Roman" w:cs="Times New Roman"/>
          <w:color w:val="000000" w:themeColor="text1"/>
          <w:sz w:val="24"/>
          <w:szCs w:val="24"/>
        </w:rPr>
        <w:t xml:space="preserve">Xygalatas, Dimitris. </w:t>
      </w:r>
      <w:r w:rsidRPr="00DF03CE">
        <w:rPr>
          <w:rFonts w:ascii="Times New Roman" w:hAnsi="Times New Roman" w:cs="Times New Roman"/>
          <w:i/>
          <w:iCs/>
          <w:color w:val="000000" w:themeColor="text1"/>
          <w:sz w:val="24"/>
          <w:szCs w:val="24"/>
        </w:rPr>
        <w:t>Ritual: How Seemingly Senseless Acts Make Life Worth Living</w:t>
      </w:r>
      <w:r w:rsidRPr="00DF03CE">
        <w:rPr>
          <w:rFonts w:ascii="Times New Roman" w:hAnsi="Times New Roman" w:cs="Times New Roman"/>
          <w:color w:val="000000" w:themeColor="text1"/>
          <w:sz w:val="24"/>
          <w:szCs w:val="24"/>
        </w:rPr>
        <w:t>. London: Profile Books, 2022.</w:t>
      </w:r>
    </w:p>
    <w:p w14:paraId="766F7569" w14:textId="77777777" w:rsidR="00C96F90" w:rsidRPr="00DF03CE" w:rsidRDefault="00000000">
      <w:pPr>
        <w:spacing w:after="60"/>
        <w:ind w:left="720" w:hanging="720"/>
        <w:rPr>
          <w:color w:val="000000" w:themeColor="text1"/>
        </w:rPr>
      </w:pPr>
      <w:proofErr w:type="spellStart"/>
      <w:r w:rsidRPr="00DF03CE">
        <w:rPr>
          <w:rFonts w:ascii="Times New Roman" w:hAnsi="Times New Roman" w:cs="Times New Roman"/>
          <w:color w:val="000000" w:themeColor="text1"/>
          <w:sz w:val="24"/>
          <w:szCs w:val="24"/>
        </w:rPr>
        <w:t>Zilhão</w:t>
      </w:r>
      <w:proofErr w:type="spellEnd"/>
      <w:r w:rsidRPr="00DF03CE">
        <w:rPr>
          <w:rFonts w:ascii="Times New Roman" w:hAnsi="Times New Roman" w:cs="Times New Roman"/>
          <w:color w:val="000000" w:themeColor="text1"/>
          <w:sz w:val="24"/>
          <w:szCs w:val="24"/>
        </w:rPr>
        <w:t xml:space="preserve">, João. "Symbolic Use of Marine Shells and Mineral Pigments by Iberian Neandertals." </w:t>
      </w:r>
      <w:r w:rsidRPr="00DF03CE">
        <w:rPr>
          <w:rFonts w:ascii="Times New Roman" w:hAnsi="Times New Roman" w:cs="Times New Roman"/>
          <w:i/>
          <w:iCs/>
          <w:color w:val="000000" w:themeColor="text1"/>
          <w:sz w:val="24"/>
          <w:szCs w:val="24"/>
        </w:rPr>
        <w:t>Proceedings of the National Academy of Sciences</w:t>
      </w:r>
      <w:r w:rsidRPr="00DF03CE">
        <w:rPr>
          <w:rFonts w:ascii="Times New Roman" w:hAnsi="Times New Roman" w:cs="Times New Roman"/>
          <w:color w:val="000000" w:themeColor="text1"/>
          <w:sz w:val="24"/>
          <w:szCs w:val="24"/>
        </w:rPr>
        <w:t xml:space="preserve"> 107, no. 3 (2010): 1023–1028.</w:t>
      </w:r>
    </w:p>
    <w:sectPr w:rsidR="00C96F90" w:rsidRPr="00DF03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2282" w14:textId="77777777" w:rsidR="006D028D" w:rsidRDefault="006D028D">
      <w:r>
        <w:separator/>
      </w:r>
    </w:p>
  </w:endnote>
  <w:endnote w:type="continuationSeparator" w:id="0">
    <w:p w14:paraId="54A2E68F" w14:textId="77777777" w:rsidR="006D028D" w:rsidRDefault="006D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6C3A" w14:textId="77777777" w:rsidR="006D028D" w:rsidRDefault="006D028D">
      <w:r>
        <w:separator/>
      </w:r>
    </w:p>
  </w:footnote>
  <w:footnote w:type="continuationSeparator" w:id="0">
    <w:p w14:paraId="55E56A2F" w14:textId="77777777" w:rsidR="006D028D" w:rsidRDefault="006D028D">
      <w:r>
        <w:continuationSeparator/>
      </w:r>
    </w:p>
  </w:footnote>
  <w:footnote w:id="1">
    <w:p w14:paraId="0734FE8A" w14:textId="77777777" w:rsidR="00C96F90" w:rsidRDefault="00000000">
      <w:pPr>
        <w:pStyle w:val="FootnoteText"/>
      </w:pPr>
      <w:r>
        <w:rPr>
          <w:rStyle w:val="FootnoteReference"/>
        </w:rPr>
        <w:footnoteRef/>
      </w:r>
      <w:r>
        <w:rPr>
          <w:rFonts w:ascii="Times New Roman" w:hAnsi="Times New Roman" w:cs="Times New Roman"/>
          <w:sz w:val="20"/>
          <w:szCs w:val="20"/>
        </w:rPr>
        <w:t xml:space="preserve">V. Gordon Childe, </w:t>
      </w:r>
      <w:r>
        <w:rPr>
          <w:rFonts w:ascii="Times New Roman" w:hAnsi="Times New Roman" w:cs="Times New Roman"/>
          <w:i/>
          <w:iCs/>
          <w:sz w:val="20"/>
          <w:szCs w:val="20"/>
        </w:rPr>
        <w:t>The Town Planning Review</w:t>
      </w:r>
      <w:r>
        <w:rPr>
          <w:rFonts w:ascii="Times New Roman" w:hAnsi="Times New Roman" w:cs="Times New Roman"/>
          <w:sz w:val="20"/>
          <w:szCs w:val="20"/>
        </w:rPr>
        <w:t xml:space="preserve"> 21, no. 1 (1950): 3–17.</w:t>
      </w:r>
    </w:p>
  </w:footnote>
  <w:footnote w:id="2">
    <w:p w14:paraId="1715BB9E" w14:textId="77777777" w:rsidR="00C96F90" w:rsidRDefault="00000000">
      <w:pPr>
        <w:pStyle w:val="FootnoteText"/>
      </w:pPr>
      <w:r>
        <w:rPr>
          <w:rStyle w:val="FootnoteReference"/>
        </w:rPr>
        <w:footnoteRef/>
      </w:r>
      <w:r>
        <w:rPr>
          <w:rFonts w:ascii="Times New Roman" w:hAnsi="Times New Roman" w:cs="Times New Roman"/>
          <w:sz w:val="20"/>
          <w:szCs w:val="20"/>
        </w:rPr>
        <w:t xml:space="preserve">Jared Diamond, </w:t>
      </w:r>
      <w:r>
        <w:rPr>
          <w:rFonts w:ascii="Times New Roman" w:hAnsi="Times New Roman" w:cs="Times New Roman"/>
          <w:i/>
          <w:iCs/>
          <w:sz w:val="20"/>
          <w:szCs w:val="20"/>
        </w:rPr>
        <w:t>Guns, Germs, and Steel: The Fates of Human Societies</w:t>
      </w:r>
      <w:r>
        <w:rPr>
          <w:rFonts w:ascii="Times New Roman" w:hAnsi="Times New Roman" w:cs="Times New Roman"/>
          <w:sz w:val="20"/>
          <w:szCs w:val="20"/>
        </w:rPr>
        <w:t xml:space="preserve"> (New York: Norton, 1997).</w:t>
      </w:r>
    </w:p>
  </w:footnote>
  <w:footnote w:id="3">
    <w:p w14:paraId="37CB5AD1" w14:textId="77777777" w:rsidR="00C96F90" w:rsidRDefault="00000000">
      <w:pPr>
        <w:pStyle w:val="FootnoteText"/>
      </w:pPr>
      <w:r>
        <w:rPr>
          <w:rStyle w:val="FootnoteReference"/>
        </w:rPr>
        <w:footnoteRef/>
      </w:r>
      <w:r>
        <w:rPr>
          <w:rFonts w:ascii="Times New Roman" w:hAnsi="Times New Roman" w:cs="Times New Roman"/>
          <w:sz w:val="20"/>
          <w:szCs w:val="20"/>
        </w:rPr>
        <w:t>Anthony Vondoom, "The Deep Symbolic Systems Model (DSSM): A Cognitive–Ritual Framework for Early Monumentality and Cultural Continuity," SSRN, 2025. https://doi.org/10.2139/ssrn.6003734.</w:t>
      </w:r>
    </w:p>
  </w:footnote>
  <w:footnote w:id="4">
    <w:p w14:paraId="0F67C32B" w14:textId="77777777" w:rsidR="00C96F90" w:rsidRDefault="00000000">
      <w:pPr>
        <w:pStyle w:val="FootnoteText"/>
      </w:pPr>
      <w:r>
        <w:rPr>
          <w:rStyle w:val="FootnoteReference"/>
        </w:rPr>
        <w:footnoteRef/>
      </w:r>
      <w:r>
        <w:rPr>
          <w:rFonts w:ascii="Times New Roman" w:hAnsi="Times New Roman" w:cs="Times New Roman"/>
          <w:sz w:val="20"/>
          <w:szCs w:val="20"/>
        </w:rPr>
        <w:t xml:space="preserve">Merlin Donald, </w:t>
      </w:r>
      <w:r>
        <w:rPr>
          <w:rFonts w:ascii="Times New Roman" w:hAnsi="Times New Roman" w:cs="Times New Roman"/>
          <w:i/>
          <w:iCs/>
          <w:sz w:val="20"/>
          <w:szCs w:val="20"/>
        </w:rPr>
        <w:t>Origins of the Modern Mind: Three Stages in the Evolution of Culture and Cognition</w:t>
      </w:r>
      <w:r>
        <w:rPr>
          <w:rFonts w:ascii="Times New Roman" w:hAnsi="Times New Roman" w:cs="Times New Roman"/>
          <w:sz w:val="20"/>
          <w:szCs w:val="20"/>
        </w:rPr>
        <w:t xml:space="preserve"> (Cambridge, MA: Harvard University Press, 1991).</w:t>
      </w:r>
    </w:p>
  </w:footnote>
  <w:footnote w:id="5">
    <w:p w14:paraId="1AB707CA" w14:textId="77777777" w:rsidR="00C96F90" w:rsidRDefault="00000000">
      <w:pPr>
        <w:pStyle w:val="FootnoteText"/>
      </w:pPr>
      <w:r>
        <w:rPr>
          <w:rStyle w:val="FootnoteReference"/>
        </w:rPr>
        <w:footnoteRef/>
      </w:r>
      <w:r>
        <w:rPr>
          <w:rFonts w:ascii="Times New Roman" w:hAnsi="Times New Roman" w:cs="Times New Roman"/>
          <w:sz w:val="20"/>
          <w:szCs w:val="20"/>
        </w:rPr>
        <w:t xml:space="preserve">Jan Assmann, </w:t>
      </w:r>
      <w:r>
        <w:rPr>
          <w:rFonts w:ascii="Times New Roman" w:hAnsi="Times New Roman" w:cs="Times New Roman"/>
          <w:i/>
          <w:iCs/>
          <w:sz w:val="20"/>
          <w:szCs w:val="20"/>
        </w:rPr>
        <w:t>Cultural Memory and Early Civilization: Writing, Remembrance, and Political Imagination</w:t>
      </w:r>
      <w:r>
        <w:rPr>
          <w:rFonts w:ascii="Times New Roman" w:hAnsi="Times New Roman" w:cs="Times New Roman"/>
          <w:sz w:val="20"/>
          <w:szCs w:val="20"/>
        </w:rPr>
        <w:t xml:space="preserve"> (Cambridge: Cambridge University Press, 2011).</w:t>
      </w:r>
    </w:p>
  </w:footnote>
  <w:footnote w:id="6">
    <w:p w14:paraId="7AB28893"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Jack Goody, </w:t>
      </w:r>
      <w:r>
        <w:rPr>
          <w:rFonts w:ascii="Times New Roman" w:hAnsi="Times New Roman" w:cs="Times New Roman"/>
          <w:i/>
          <w:iCs/>
          <w:sz w:val="20"/>
          <w:szCs w:val="20"/>
        </w:rPr>
        <w:t>The Logic of Writing and the Organization of Society</w:t>
      </w:r>
      <w:r>
        <w:rPr>
          <w:rFonts w:ascii="Times New Roman" w:hAnsi="Times New Roman" w:cs="Times New Roman"/>
          <w:sz w:val="20"/>
          <w:szCs w:val="20"/>
        </w:rPr>
        <w:t xml:space="preserve"> (Cambridge: Cambridge University Press, 1986).</w:t>
      </w:r>
    </w:p>
  </w:footnote>
  <w:footnote w:id="7">
    <w:p w14:paraId="2E2E7873" w14:textId="77777777" w:rsidR="00C96F90" w:rsidRDefault="00000000">
      <w:pPr>
        <w:pStyle w:val="FootnoteText"/>
      </w:pPr>
      <w:r>
        <w:rPr>
          <w:rStyle w:val="FootnoteReference"/>
        </w:rPr>
        <w:footnoteRef/>
      </w:r>
      <w:r>
        <w:rPr>
          <w:rFonts w:ascii="Times New Roman" w:hAnsi="Times New Roman" w:cs="Times New Roman"/>
          <w:sz w:val="20"/>
          <w:szCs w:val="20"/>
        </w:rPr>
        <w:t>Denise Schmandt-</w:t>
      </w:r>
      <w:proofErr w:type="spellStart"/>
      <w:r>
        <w:rPr>
          <w:rFonts w:ascii="Times New Roman" w:hAnsi="Times New Roman" w:cs="Times New Roman"/>
          <w:sz w:val="20"/>
          <w:szCs w:val="20"/>
        </w:rPr>
        <w:t>Besserat</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Before Writing: From Counting to Cuneiform</w:t>
      </w:r>
      <w:r>
        <w:rPr>
          <w:rFonts w:ascii="Times New Roman" w:hAnsi="Times New Roman" w:cs="Times New Roman"/>
          <w:sz w:val="20"/>
          <w:szCs w:val="20"/>
        </w:rPr>
        <w:t xml:space="preserve"> (Austin: University of Texas Press, 1992).</w:t>
      </w:r>
    </w:p>
  </w:footnote>
  <w:footnote w:id="8">
    <w:p w14:paraId="47CF8FCB" w14:textId="77777777" w:rsidR="00C96F90" w:rsidRDefault="00000000">
      <w:pPr>
        <w:pStyle w:val="FootnoteText"/>
      </w:pPr>
      <w:r>
        <w:rPr>
          <w:rStyle w:val="FootnoteReference"/>
        </w:rPr>
        <w:footnoteRef/>
      </w:r>
      <w:r>
        <w:rPr>
          <w:rFonts w:ascii="Times New Roman" w:hAnsi="Times New Roman" w:cs="Times New Roman"/>
          <w:sz w:val="20"/>
          <w:szCs w:val="20"/>
        </w:rPr>
        <w:t xml:space="preserve">V. Gordon Childe, </w:t>
      </w:r>
      <w:r>
        <w:rPr>
          <w:rFonts w:ascii="Times New Roman" w:hAnsi="Times New Roman" w:cs="Times New Roman"/>
          <w:i/>
          <w:iCs/>
          <w:sz w:val="20"/>
          <w:szCs w:val="20"/>
        </w:rPr>
        <w:t>The Town Planning Review</w:t>
      </w:r>
      <w:r>
        <w:rPr>
          <w:rFonts w:ascii="Times New Roman" w:hAnsi="Times New Roman" w:cs="Times New Roman"/>
          <w:sz w:val="20"/>
          <w:szCs w:val="20"/>
        </w:rPr>
        <w:t xml:space="preserve"> 21, no. 1 (1950): 3–17.</w:t>
      </w:r>
    </w:p>
  </w:footnote>
  <w:footnote w:id="9">
    <w:p w14:paraId="00CC4B8C" w14:textId="77777777" w:rsidR="00C96F90" w:rsidRDefault="00000000">
      <w:pPr>
        <w:pStyle w:val="FootnoteText"/>
      </w:pPr>
      <w:r>
        <w:rPr>
          <w:rStyle w:val="FootnoteReference"/>
        </w:rPr>
        <w:footnoteRef/>
      </w:r>
      <w:r>
        <w:rPr>
          <w:rFonts w:ascii="Times New Roman" w:hAnsi="Times New Roman" w:cs="Times New Roman"/>
          <w:sz w:val="20"/>
          <w:szCs w:val="20"/>
        </w:rPr>
        <w:t xml:space="preserve">Jared Diamond, </w:t>
      </w:r>
      <w:r>
        <w:rPr>
          <w:rFonts w:ascii="Times New Roman" w:hAnsi="Times New Roman" w:cs="Times New Roman"/>
          <w:i/>
          <w:iCs/>
          <w:sz w:val="20"/>
          <w:szCs w:val="20"/>
        </w:rPr>
        <w:t>Guns, Germs, and Steel: The Fates of Human Societies</w:t>
      </w:r>
      <w:r>
        <w:rPr>
          <w:rFonts w:ascii="Times New Roman" w:hAnsi="Times New Roman" w:cs="Times New Roman"/>
          <w:sz w:val="20"/>
          <w:szCs w:val="20"/>
        </w:rPr>
        <w:t xml:space="preserve"> (New York: Norton, 1997).</w:t>
      </w:r>
    </w:p>
  </w:footnote>
  <w:footnote w:id="10">
    <w:p w14:paraId="387AE372" w14:textId="77777777" w:rsidR="00C96F90"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11">
    <w:p w14:paraId="5D745EFC" w14:textId="77777777" w:rsidR="00C96F90"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12">
    <w:p w14:paraId="546CD54B"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Jacques Cauvin, </w:t>
      </w:r>
      <w:r>
        <w:rPr>
          <w:rFonts w:ascii="Times New Roman" w:hAnsi="Times New Roman" w:cs="Times New Roman"/>
          <w:i/>
          <w:iCs/>
          <w:sz w:val="20"/>
          <w:szCs w:val="20"/>
        </w:rPr>
        <w:t>The Birth of the Gods and the Origins of Agriculture</w:t>
      </w:r>
      <w:r>
        <w:rPr>
          <w:rFonts w:ascii="Times New Roman" w:hAnsi="Times New Roman" w:cs="Times New Roman"/>
          <w:sz w:val="20"/>
          <w:szCs w:val="20"/>
        </w:rPr>
        <w:t xml:space="preserve"> (Cambridge: Cambridge University Press, 2000).</w:t>
      </w:r>
    </w:p>
  </w:footnote>
  <w:footnote w:id="13">
    <w:p w14:paraId="6E3F7FBA" w14:textId="77777777" w:rsidR="00C96F90" w:rsidRDefault="00000000">
      <w:pPr>
        <w:pStyle w:val="FootnoteText"/>
      </w:pPr>
      <w:r>
        <w:rPr>
          <w:rStyle w:val="FootnoteReference"/>
        </w:rPr>
        <w:footnoteRef/>
      </w:r>
      <w:r>
        <w:rPr>
          <w:rFonts w:ascii="Times New Roman" w:hAnsi="Times New Roman" w:cs="Times New Roman"/>
          <w:sz w:val="20"/>
          <w:szCs w:val="20"/>
        </w:rPr>
        <w:t xml:space="preserve">Edwin Hutchins, </w:t>
      </w:r>
      <w:r>
        <w:rPr>
          <w:rFonts w:ascii="Times New Roman" w:hAnsi="Times New Roman" w:cs="Times New Roman"/>
          <w:i/>
          <w:iCs/>
          <w:sz w:val="20"/>
          <w:szCs w:val="20"/>
        </w:rPr>
        <w:t>Cognition in the Wild</w:t>
      </w:r>
      <w:r>
        <w:rPr>
          <w:rFonts w:ascii="Times New Roman" w:hAnsi="Times New Roman" w:cs="Times New Roman"/>
          <w:sz w:val="20"/>
          <w:szCs w:val="20"/>
        </w:rPr>
        <w:t xml:space="preserve"> (Cambridge, MA: MIT Press, 1995).</w:t>
      </w:r>
    </w:p>
  </w:footnote>
  <w:footnote w:id="14">
    <w:p w14:paraId="1513E87A" w14:textId="77777777" w:rsidR="00C96F90" w:rsidRDefault="00000000">
      <w:pPr>
        <w:pStyle w:val="FootnoteText"/>
      </w:pPr>
      <w:r>
        <w:rPr>
          <w:rStyle w:val="FootnoteReference"/>
        </w:rPr>
        <w:footnoteRef/>
      </w:r>
      <w:r>
        <w:rPr>
          <w:rFonts w:ascii="Times New Roman" w:hAnsi="Times New Roman" w:cs="Times New Roman"/>
          <w:sz w:val="20"/>
          <w:szCs w:val="20"/>
        </w:rPr>
        <w:t xml:space="preserve">Andy Clark and David Chalmers, "The Extended Mind," </w:t>
      </w:r>
      <w:r>
        <w:rPr>
          <w:rFonts w:ascii="Times New Roman" w:hAnsi="Times New Roman" w:cs="Times New Roman"/>
          <w:i/>
          <w:iCs/>
          <w:sz w:val="20"/>
          <w:szCs w:val="20"/>
        </w:rPr>
        <w:t>Analysis</w:t>
      </w:r>
      <w:r>
        <w:rPr>
          <w:rFonts w:ascii="Times New Roman" w:hAnsi="Times New Roman" w:cs="Times New Roman"/>
          <w:sz w:val="20"/>
          <w:szCs w:val="20"/>
        </w:rPr>
        <w:t xml:space="preserve"> 58, no. 1 (1998): 7–19.</w:t>
      </w:r>
    </w:p>
  </w:footnote>
  <w:footnote w:id="15">
    <w:p w14:paraId="37CA44FF" w14:textId="77777777" w:rsidR="00C96F90" w:rsidRDefault="00000000">
      <w:pPr>
        <w:pStyle w:val="FootnoteText"/>
      </w:pPr>
      <w:r>
        <w:rPr>
          <w:rStyle w:val="FootnoteReference"/>
        </w:rPr>
        <w:footnoteRef/>
      </w:r>
      <w:r>
        <w:rPr>
          <w:rFonts w:ascii="Times New Roman" w:hAnsi="Times New Roman" w:cs="Times New Roman"/>
          <w:sz w:val="20"/>
          <w:szCs w:val="20"/>
        </w:rPr>
        <w:t xml:space="preserve">Richard Potts, "Environmental Hypotheses of Hominin Evolution," </w:t>
      </w:r>
      <w:r>
        <w:rPr>
          <w:rFonts w:ascii="Times New Roman" w:hAnsi="Times New Roman" w:cs="Times New Roman"/>
          <w:i/>
          <w:iCs/>
          <w:sz w:val="20"/>
          <w:szCs w:val="20"/>
        </w:rPr>
        <w:t>Yearbook of Physical Anthropology</w:t>
      </w:r>
      <w:r>
        <w:rPr>
          <w:rFonts w:ascii="Times New Roman" w:hAnsi="Times New Roman" w:cs="Times New Roman"/>
          <w:sz w:val="20"/>
          <w:szCs w:val="20"/>
        </w:rPr>
        <w:t xml:space="preserve"> 41 (1998): 93–136.</w:t>
      </w:r>
    </w:p>
  </w:footnote>
  <w:footnote w:id="16">
    <w:p w14:paraId="65C5B8B6" w14:textId="77777777" w:rsidR="00C96F90" w:rsidRDefault="00000000">
      <w:pPr>
        <w:pStyle w:val="FootnoteText"/>
      </w:pPr>
      <w:r>
        <w:rPr>
          <w:rStyle w:val="FootnoteReference"/>
        </w:rPr>
        <w:footnoteRef/>
      </w:r>
      <w:r>
        <w:rPr>
          <w:rFonts w:ascii="Times New Roman" w:hAnsi="Times New Roman" w:cs="Times New Roman"/>
          <w:sz w:val="20"/>
          <w:szCs w:val="20"/>
        </w:rPr>
        <w:t xml:space="preserve">Sally McBrearty and Alison S. Brooks, "The Revolution That Wasn't: A New Interpretation of the Origin of Modern Human Behavior," </w:t>
      </w:r>
      <w:r>
        <w:rPr>
          <w:rFonts w:ascii="Times New Roman" w:hAnsi="Times New Roman" w:cs="Times New Roman"/>
          <w:i/>
          <w:iCs/>
          <w:sz w:val="20"/>
          <w:szCs w:val="20"/>
        </w:rPr>
        <w:t>Journal of Human Evolution</w:t>
      </w:r>
      <w:r>
        <w:rPr>
          <w:rFonts w:ascii="Times New Roman" w:hAnsi="Times New Roman" w:cs="Times New Roman"/>
          <w:sz w:val="20"/>
          <w:szCs w:val="20"/>
        </w:rPr>
        <w:t xml:space="preserve"> 39, no. 5 (2000): 453–563.</w:t>
      </w:r>
    </w:p>
  </w:footnote>
  <w:footnote w:id="17">
    <w:p w14:paraId="6D4C024B" w14:textId="77777777" w:rsidR="00C96F90" w:rsidRDefault="00000000">
      <w:pPr>
        <w:pStyle w:val="FootnoteText"/>
      </w:pPr>
      <w:r>
        <w:rPr>
          <w:rStyle w:val="FootnoteReference"/>
        </w:rPr>
        <w:footnoteRef/>
      </w:r>
      <w:r>
        <w:rPr>
          <w:rFonts w:ascii="Times New Roman" w:hAnsi="Times New Roman" w:cs="Times New Roman"/>
          <w:sz w:val="20"/>
          <w:szCs w:val="20"/>
        </w:rPr>
        <w:t xml:space="preserve">Jan Assmann, </w:t>
      </w:r>
      <w:r>
        <w:rPr>
          <w:rFonts w:ascii="Times New Roman" w:hAnsi="Times New Roman" w:cs="Times New Roman"/>
          <w:i/>
          <w:iCs/>
          <w:sz w:val="20"/>
          <w:szCs w:val="20"/>
        </w:rPr>
        <w:t>Cultural Memory and Early Civilization: Writing, Remembrance, and Political Imagination</w:t>
      </w:r>
      <w:r>
        <w:rPr>
          <w:rFonts w:ascii="Times New Roman" w:hAnsi="Times New Roman" w:cs="Times New Roman"/>
          <w:sz w:val="20"/>
          <w:szCs w:val="20"/>
        </w:rPr>
        <w:t xml:space="preserve"> (Cambridge: Cambridge University Press, 2011).</w:t>
      </w:r>
    </w:p>
  </w:footnote>
  <w:footnote w:id="18">
    <w:p w14:paraId="1800F1D5" w14:textId="77777777" w:rsidR="00C96F90" w:rsidRDefault="00000000">
      <w:pPr>
        <w:pStyle w:val="FootnoteText"/>
      </w:pPr>
      <w:r>
        <w:rPr>
          <w:rStyle w:val="FootnoteReference"/>
        </w:rPr>
        <w:footnoteRef/>
      </w:r>
      <w:r>
        <w:rPr>
          <w:rFonts w:ascii="Times New Roman" w:hAnsi="Times New Roman" w:cs="Times New Roman"/>
          <w:sz w:val="20"/>
          <w:szCs w:val="20"/>
        </w:rPr>
        <w:t xml:space="preserve">Roy A. Rappaport, </w:t>
      </w:r>
      <w:r>
        <w:rPr>
          <w:rFonts w:ascii="Times New Roman" w:hAnsi="Times New Roman" w:cs="Times New Roman"/>
          <w:i/>
          <w:iCs/>
          <w:sz w:val="20"/>
          <w:szCs w:val="20"/>
        </w:rPr>
        <w:t>Ritual and Religion in the Making of Humanity</w:t>
      </w:r>
      <w:r>
        <w:rPr>
          <w:rFonts w:ascii="Times New Roman" w:hAnsi="Times New Roman" w:cs="Times New Roman"/>
          <w:sz w:val="20"/>
          <w:szCs w:val="20"/>
        </w:rPr>
        <w:t xml:space="preserve"> (Cambridge: Cambridge University Press, 1999).</w:t>
      </w:r>
    </w:p>
  </w:footnote>
  <w:footnote w:id="19">
    <w:p w14:paraId="774A3225" w14:textId="77777777" w:rsidR="00C96F90" w:rsidRDefault="00000000">
      <w:pPr>
        <w:pStyle w:val="FootnoteText"/>
      </w:pPr>
      <w:r>
        <w:rPr>
          <w:rStyle w:val="FootnoteReference"/>
        </w:rPr>
        <w:footnoteRef/>
      </w:r>
      <w:r>
        <w:rPr>
          <w:rFonts w:ascii="Times New Roman" w:hAnsi="Times New Roman" w:cs="Times New Roman"/>
          <w:sz w:val="20"/>
          <w:szCs w:val="20"/>
        </w:rPr>
        <w:t xml:space="preserve">Bruce G. Trigger, </w:t>
      </w:r>
      <w:r>
        <w:rPr>
          <w:rFonts w:ascii="Times New Roman" w:hAnsi="Times New Roman" w:cs="Times New Roman"/>
          <w:i/>
          <w:iCs/>
          <w:sz w:val="20"/>
          <w:szCs w:val="20"/>
        </w:rPr>
        <w:t>Understanding Early Civilizations: A Comparative Study</w:t>
      </w:r>
      <w:r>
        <w:rPr>
          <w:rFonts w:ascii="Times New Roman" w:hAnsi="Times New Roman" w:cs="Times New Roman"/>
          <w:sz w:val="20"/>
          <w:szCs w:val="20"/>
        </w:rPr>
        <w:t xml:space="preserve"> (Cambridge: Cambridge University Press, 2003).</w:t>
      </w:r>
    </w:p>
  </w:footnote>
  <w:footnote w:id="20">
    <w:p w14:paraId="7472B75D" w14:textId="77777777" w:rsidR="00C96F90" w:rsidRDefault="00000000">
      <w:pPr>
        <w:pStyle w:val="FootnoteText"/>
      </w:pPr>
      <w:r>
        <w:rPr>
          <w:rStyle w:val="FootnoteReference"/>
        </w:rPr>
        <w:footnoteRef/>
      </w:r>
      <w:r>
        <w:rPr>
          <w:rFonts w:ascii="Times New Roman" w:hAnsi="Times New Roman" w:cs="Times New Roman"/>
          <w:sz w:val="20"/>
          <w:szCs w:val="20"/>
        </w:rPr>
        <w:t xml:space="preserve">Joseph Henrich, </w:t>
      </w:r>
      <w:r>
        <w:rPr>
          <w:rFonts w:ascii="Times New Roman" w:hAnsi="Times New Roman" w:cs="Times New Roman"/>
          <w:i/>
          <w:iCs/>
          <w:sz w:val="20"/>
          <w:szCs w:val="20"/>
        </w:rPr>
        <w:t>The Secret of Our Success</w:t>
      </w:r>
      <w:r>
        <w:rPr>
          <w:rFonts w:ascii="Times New Roman" w:hAnsi="Times New Roman" w:cs="Times New Roman"/>
          <w:sz w:val="20"/>
          <w:szCs w:val="20"/>
        </w:rPr>
        <w:t xml:space="preserve"> (Princeton: Princeton University Press, 2016).</w:t>
      </w:r>
    </w:p>
  </w:footnote>
  <w:footnote w:id="21">
    <w:p w14:paraId="6FF169A3" w14:textId="77777777" w:rsidR="00C96F90" w:rsidRDefault="00000000">
      <w:pPr>
        <w:pStyle w:val="FootnoteText"/>
      </w:pPr>
      <w:r>
        <w:rPr>
          <w:rStyle w:val="FootnoteReference"/>
        </w:rPr>
        <w:footnoteRef/>
      </w:r>
      <w:r>
        <w:rPr>
          <w:rFonts w:ascii="Times New Roman" w:hAnsi="Times New Roman" w:cs="Times New Roman"/>
          <w:sz w:val="20"/>
          <w:szCs w:val="20"/>
        </w:rPr>
        <w:t xml:space="preserve">Kim Sterelny, </w:t>
      </w:r>
      <w:r>
        <w:rPr>
          <w:rFonts w:ascii="Times New Roman" w:hAnsi="Times New Roman" w:cs="Times New Roman"/>
          <w:i/>
          <w:iCs/>
          <w:sz w:val="20"/>
          <w:szCs w:val="20"/>
        </w:rPr>
        <w:t>The Evolved Apprentice: How Evolution Made Humans Unique</w:t>
      </w:r>
      <w:r>
        <w:rPr>
          <w:rFonts w:ascii="Times New Roman" w:hAnsi="Times New Roman" w:cs="Times New Roman"/>
          <w:sz w:val="20"/>
          <w:szCs w:val="20"/>
        </w:rPr>
        <w:t xml:space="preserve"> (Cambridge, MA: MIT Press, 2012).</w:t>
      </w:r>
    </w:p>
  </w:footnote>
  <w:footnote w:id="22">
    <w:p w14:paraId="1B6E7FFD" w14:textId="77777777" w:rsidR="00C96F90" w:rsidRDefault="00000000">
      <w:pPr>
        <w:pStyle w:val="FootnoteText"/>
      </w:pPr>
      <w:r>
        <w:rPr>
          <w:rStyle w:val="FootnoteReference"/>
        </w:rPr>
        <w:footnoteRef/>
      </w:r>
      <w:r>
        <w:rPr>
          <w:rFonts w:ascii="Times New Roman" w:hAnsi="Times New Roman" w:cs="Times New Roman"/>
          <w:sz w:val="20"/>
          <w:szCs w:val="20"/>
        </w:rPr>
        <w:t xml:space="preserve">Walter J. Ong, </w:t>
      </w:r>
      <w:r>
        <w:rPr>
          <w:rFonts w:ascii="Times New Roman" w:hAnsi="Times New Roman" w:cs="Times New Roman"/>
          <w:i/>
          <w:iCs/>
          <w:sz w:val="20"/>
          <w:szCs w:val="20"/>
        </w:rPr>
        <w:t>Orality and Literacy: The Technologizing of the Word</w:t>
      </w:r>
      <w:r>
        <w:rPr>
          <w:rFonts w:ascii="Times New Roman" w:hAnsi="Times New Roman" w:cs="Times New Roman"/>
          <w:sz w:val="20"/>
          <w:szCs w:val="20"/>
        </w:rPr>
        <w:t xml:space="preserve"> (London: Routledge, 1982).</w:t>
      </w:r>
    </w:p>
  </w:footnote>
  <w:footnote w:id="23">
    <w:p w14:paraId="7930C46E" w14:textId="77777777" w:rsidR="00C96F90" w:rsidRDefault="00000000">
      <w:pPr>
        <w:pStyle w:val="FootnoteText"/>
      </w:pPr>
      <w:r>
        <w:rPr>
          <w:rStyle w:val="FootnoteReference"/>
        </w:rPr>
        <w:footnoteRef/>
      </w:r>
      <w:r>
        <w:rPr>
          <w:rFonts w:ascii="Times New Roman" w:hAnsi="Times New Roman" w:cs="Times New Roman"/>
          <w:sz w:val="20"/>
          <w:szCs w:val="20"/>
        </w:rPr>
        <w:t xml:space="preserve">Merlin Donald, </w:t>
      </w:r>
      <w:r>
        <w:rPr>
          <w:rFonts w:ascii="Times New Roman" w:hAnsi="Times New Roman" w:cs="Times New Roman"/>
          <w:i/>
          <w:iCs/>
          <w:sz w:val="20"/>
          <w:szCs w:val="20"/>
        </w:rPr>
        <w:t>Origins of the Modern Mind: Three Stages in the Evolution of Culture and Cognition</w:t>
      </w:r>
      <w:r>
        <w:rPr>
          <w:rFonts w:ascii="Times New Roman" w:hAnsi="Times New Roman" w:cs="Times New Roman"/>
          <w:sz w:val="20"/>
          <w:szCs w:val="20"/>
        </w:rPr>
        <w:t xml:space="preserve"> (Cambridge, MA: Harvard University Press, 1991).</w:t>
      </w:r>
    </w:p>
  </w:footnote>
  <w:footnote w:id="24">
    <w:p w14:paraId="5EECA0A7" w14:textId="77777777" w:rsidR="00C96F90" w:rsidRDefault="00000000">
      <w:pPr>
        <w:pStyle w:val="FootnoteText"/>
      </w:pPr>
      <w:r>
        <w:rPr>
          <w:rStyle w:val="FootnoteReference"/>
        </w:rPr>
        <w:footnoteRef/>
      </w:r>
      <w:r>
        <w:rPr>
          <w:rFonts w:ascii="Times New Roman" w:hAnsi="Times New Roman" w:cs="Times New Roman"/>
          <w:sz w:val="20"/>
          <w:szCs w:val="20"/>
        </w:rPr>
        <w:t xml:space="preserve">Stephen D. Houston, ed., </w:t>
      </w:r>
      <w:r>
        <w:rPr>
          <w:rFonts w:ascii="Times New Roman" w:hAnsi="Times New Roman" w:cs="Times New Roman"/>
          <w:i/>
          <w:iCs/>
          <w:sz w:val="20"/>
          <w:szCs w:val="20"/>
        </w:rPr>
        <w:t>The First Writing: Script Invention as History and Process</w:t>
      </w:r>
      <w:r>
        <w:rPr>
          <w:rFonts w:ascii="Times New Roman" w:hAnsi="Times New Roman" w:cs="Times New Roman"/>
          <w:sz w:val="20"/>
          <w:szCs w:val="20"/>
        </w:rPr>
        <w:t xml:space="preserve"> (Cambridge: Cambridge University Press, 2004).</w:t>
      </w:r>
    </w:p>
  </w:footnote>
  <w:footnote w:id="25">
    <w:p w14:paraId="36DC07B3" w14:textId="77777777" w:rsidR="00C96F90" w:rsidRDefault="00000000">
      <w:pPr>
        <w:pStyle w:val="FootnoteText"/>
      </w:pPr>
      <w:r>
        <w:rPr>
          <w:rStyle w:val="FootnoteReference"/>
        </w:rPr>
        <w:footnoteRef/>
      </w:r>
      <w:r>
        <w:rPr>
          <w:rFonts w:ascii="Times New Roman" w:hAnsi="Times New Roman" w:cs="Times New Roman"/>
          <w:sz w:val="20"/>
          <w:szCs w:val="20"/>
        </w:rPr>
        <w:t>Denise Schmandt-</w:t>
      </w:r>
      <w:proofErr w:type="spellStart"/>
      <w:r>
        <w:rPr>
          <w:rFonts w:ascii="Times New Roman" w:hAnsi="Times New Roman" w:cs="Times New Roman"/>
          <w:sz w:val="20"/>
          <w:szCs w:val="20"/>
        </w:rPr>
        <w:t>Besserat</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Before Writing: From Counting to Cuneiform</w:t>
      </w:r>
      <w:r>
        <w:rPr>
          <w:rFonts w:ascii="Times New Roman" w:hAnsi="Times New Roman" w:cs="Times New Roman"/>
          <w:sz w:val="20"/>
          <w:szCs w:val="20"/>
        </w:rPr>
        <w:t xml:space="preserve"> (Austin: University of Texas Press, 1992).</w:t>
      </w:r>
    </w:p>
  </w:footnote>
  <w:footnote w:id="26">
    <w:p w14:paraId="3220407C" w14:textId="77777777" w:rsidR="00C96F90" w:rsidRDefault="00000000">
      <w:pPr>
        <w:pStyle w:val="FootnoteText"/>
      </w:pPr>
      <w:r>
        <w:rPr>
          <w:rStyle w:val="FootnoteReference"/>
        </w:rPr>
        <w:footnoteRef/>
      </w:r>
      <w:r>
        <w:rPr>
          <w:rFonts w:ascii="Times New Roman" w:hAnsi="Times New Roman" w:cs="Times New Roman"/>
          <w:sz w:val="20"/>
          <w:szCs w:val="20"/>
        </w:rPr>
        <w:t xml:space="preserve">Terrence W. Deacon, </w:t>
      </w:r>
      <w:r>
        <w:rPr>
          <w:rFonts w:ascii="Times New Roman" w:hAnsi="Times New Roman" w:cs="Times New Roman"/>
          <w:i/>
          <w:iCs/>
          <w:sz w:val="20"/>
          <w:szCs w:val="20"/>
        </w:rPr>
        <w:t>The Symbolic Species: The Co-Evolution of Language and the Brain</w:t>
      </w:r>
      <w:r>
        <w:rPr>
          <w:rFonts w:ascii="Times New Roman" w:hAnsi="Times New Roman" w:cs="Times New Roman"/>
          <w:sz w:val="20"/>
          <w:szCs w:val="20"/>
        </w:rPr>
        <w:t xml:space="preserve"> (New York: Norton, 1997).</w:t>
      </w:r>
    </w:p>
  </w:footnote>
  <w:footnote w:id="27">
    <w:p w14:paraId="1A56A273" w14:textId="77777777" w:rsidR="00C96F90" w:rsidRDefault="00000000">
      <w:pPr>
        <w:pStyle w:val="FootnoteText"/>
      </w:pPr>
      <w:r>
        <w:rPr>
          <w:rStyle w:val="FootnoteReference"/>
        </w:rPr>
        <w:footnoteRef/>
      </w:r>
      <w:r>
        <w:rPr>
          <w:rFonts w:ascii="Times New Roman" w:hAnsi="Times New Roman" w:cs="Times New Roman"/>
          <w:sz w:val="20"/>
          <w:szCs w:val="20"/>
        </w:rPr>
        <w:t xml:space="preserve">David Lewis-Williams, </w:t>
      </w:r>
      <w:r>
        <w:rPr>
          <w:rFonts w:ascii="Times New Roman" w:hAnsi="Times New Roman" w:cs="Times New Roman"/>
          <w:i/>
          <w:iCs/>
          <w:sz w:val="20"/>
          <w:szCs w:val="20"/>
        </w:rPr>
        <w:t>The Mind in the Cave</w:t>
      </w:r>
      <w:r>
        <w:rPr>
          <w:rFonts w:ascii="Times New Roman" w:hAnsi="Times New Roman" w:cs="Times New Roman"/>
          <w:sz w:val="20"/>
          <w:szCs w:val="20"/>
        </w:rPr>
        <w:t xml:space="preserve"> (London: Thames and Hudson, 2002).</w:t>
      </w:r>
    </w:p>
  </w:footnote>
  <w:footnote w:id="28">
    <w:p w14:paraId="08A2E19C" w14:textId="77777777" w:rsidR="00C96F90" w:rsidRDefault="00000000">
      <w:pPr>
        <w:pStyle w:val="FootnoteText"/>
      </w:pPr>
      <w:r>
        <w:rPr>
          <w:rStyle w:val="FootnoteReference"/>
        </w:rPr>
        <w:footnoteRef/>
      </w:r>
      <w:r>
        <w:rPr>
          <w:rFonts w:ascii="Times New Roman" w:hAnsi="Times New Roman" w:cs="Times New Roman"/>
          <w:sz w:val="20"/>
          <w:szCs w:val="20"/>
        </w:rPr>
        <w:t xml:space="preserve">Colin Renfrew, </w:t>
      </w:r>
      <w:r>
        <w:rPr>
          <w:rFonts w:ascii="Times New Roman" w:hAnsi="Times New Roman" w:cs="Times New Roman"/>
          <w:i/>
          <w:iCs/>
          <w:sz w:val="20"/>
          <w:szCs w:val="20"/>
        </w:rPr>
        <w:t>Figuring It Out: The Parallel Visions of Artists and Archaeologists</w:t>
      </w:r>
      <w:r>
        <w:rPr>
          <w:rFonts w:ascii="Times New Roman" w:hAnsi="Times New Roman" w:cs="Times New Roman"/>
          <w:sz w:val="20"/>
          <w:szCs w:val="20"/>
        </w:rPr>
        <w:t xml:space="preserve"> (London: Thames and Hudson, 2003).</w:t>
      </w:r>
    </w:p>
  </w:footnote>
  <w:footnote w:id="29">
    <w:p w14:paraId="6BB5CA40" w14:textId="77777777" w:rsidR="00C96F90" w:rsidRDefault="00000000">
      <w:pPr>
        <w:pStyle w:val="FootnoteText"/>
      </w:pPr>
      <w:r>
        <w:rPr>
          <w:rStyle w:val="FootnoteReference"/>
        </w:rPr>
        <w:footnoteRef/>
      </w:r>
      <w:r>
        <w:rPr>
          <w:rFonts w:ascii="Times New Roman" w:hAnsi="Times New Roman" w:cs="Times New Roman"/>
          <w:sz w:val="20"/>
          <w:szCs w:val="20"/>
        </w:rPr>
        <w:t xml:space="preserve">Ian Hodder, </w:t>
      </w:r>
      <w:r>
        <w:rPr>
          <w:rFonts w:ascii="Times New Roman" w:hAnsi="Times New Roman" w:cs="Times New Roman"/>
          <w:i/>
          <w:iCs/>
          <w:sz w:val="20"/>
          <w:szCs w:val="20"/>
        </w:rPr>
        <w:t>Entangled: An Archaeology of the Relationships between Humans and Things</w:t>
      </w:r>
      <w:r>
        <w:rPr>
          <w:rFonts w:ascii="Times New Roman" w:hAnsi="Times New Roman" w:cs="Times New Roman"/>
          <w:sz w:val="20"/>
          <w:szCs w:val="20"/>
        </w:rPr>
        <w:t xml:space="preserve"> (Oxford: Wiley-Blackwell, 2012).</w:t>
      </w:r>
    </w:p>
  </w:footnote>
  <w:footnote w:id="30">
    <w:p w14:paraId="381CFC60" w14:textId="77777777" w:rsidR="00C96F90" w:rsidRDefault="00000000">
      <w:pPr>
        <w:pStyle w:val="FootnoteText"/>
      </w:pPr>
      <w:r>
        <w:rPr>
          <w:rStyle w:val="FootnoteReference"/>
        </w:rPr>
        <w:footnoteRef/>
      </w:r>
      <w:r>
        <w:rPr>
          <w:rFonts w:ascii="Times New Roman" w:hAnsi="Times New Roman" w:cs="Times New Roman"/>
          <w:sz w:val="20"/>
          <w:szCs w:val="20"/>
        </w:rPr>
        <w:t xml:space="preserve">Roy A. Rappaport, </w:t>
      </w:r>
      <w:r>
        <w:rPr>
          <w:rFonts w:ascii="Times New Roman" w:hAnsi="Times New Roman" w:cs="Times New Roman"/>
          <w:i/>
          <w:iCs/>
          <w:sz w:val="20"/>
          <w:szCs w:val="20"/>
        </w:rPr>
        <w:t>Ritual and Religion in the Making of Humanity</w:t>
      </w:r>
      <w:r>
        <w:rPr>
          <w:rFonts w:ascii="Times New Roman" w:hAnsi="Times New Roman" w:cs="Times New Roman"/>
          <w:sz w:val="20"/>
          <w:szCs w:val="20"/>
        </w:rPr>
        <w:t xml:space="preserve"> (Cambridge: Cambridge University Press, 1999).</w:t>
      </w:r>
    </w:p>
  </w:footnote>
  <w:footnote w:id="31">
    <w:p w14:paraId="4B0AC3C5" w14:textId="77777777" w:rsidR="00C96F90" w:rsidRDefault="00000000">
      <w:pPr>
        <w:pStyle w:val="FootnoteText"/>
      </w:pPr>
      <w:r>
        <w:rPr>
          <w:rStyle w:val="FootnoteReference"/>
        </w:rPr>
        <w:footnoteRef/>
      </w:r>
      <w:r>
        <w:rPr>
          <w:rFonts w:ascii="Times New Roman" w:hAnsi="Times New Roman" w:cs="Times New Roman"/>
          <w:sz w:val="20"/>
          <w:szCs w:val="20"/>
        </w:rPr>
        <w:t xml:space="preserve">Dimitris Xygalatas, </w:t>
      </w:r>
      <w:r>
        <w:rPr>
          <w:rFonts w:ascii="Times New Roman" w:hAnsi="Times New Roman" w:cs="Times New Roman"/>
          <w:i/>
          <w:iCs/>
          <w:sz w:val="20"/>
          <w:szCs w:val="20"/>
        </w:rPr>
        <w:t>Ritual: How Seemingly Senseless Acts Make Life Worth Living</w:t>
      </w:r>
      <w:r>
        <w:rPr>
          <w:rFonts w:ascii="Times New Roman" w:hAnsi="Times New Roman" w:cs="Times New Roman"/>
          <w:sz w:val="20"/>
          <w:szCs w:val="20"/>
        </w:rPr>
        <w:t xml:space="preserve"> (London: Profile Books, 2022).</w:t>
      </w:r>
    </w:p>
  </w:footnote>
  <w:footnote w:id="32">
    <w:p w14:paraId="77052EAF" w14:textId="77777777" w:rsidR="00C96F90" w:rsidRDefault="00000000">
      <w:pPr>
        <w:pStyle w:val="FootnoteText"/>
      </w:pPr>
      <w:r>
        <w:rPr>
          <w:rStyle w:val="FootnoteReference"/>
        </w:rPr>
        <w:footnoteRef/>
      </w:r>
      <w:r>
        <w:rPr>
          <w:rFonts w:ascii="Times New Roman" w:hAnsi="Times New Roman" w:cs="Times New Roman"/>
          <w:sz w:val="20"/>
          <w:szCs w:val="20"/>
        </w:rPr>
        <w:t xml:space="preserve">Edwin Hutchins, </w:t>
      </w:r>
      <w:r>
        <w:rPr>
          <w:rFonts w:ascii="Times New Roman" w:hAnsi="Times New Roman" w:cs="Times New Roman"/>
          <w:i/>
          <w:iCs/>
          <w:sz w:val="20"/>
          <w:szCs w:val="20"/>
        </w:rPr>
        <w:t>Cognition in the Wild</w:t>
      </w:r>
      <w:r>
        <w:rPr>
          <w:rFonts w:ascii="Times New Roman" w:hAnsi="Times New Roman" w:cs="Times New Roman"/>
          <w:sz w:val="20"/>
          <w:szCs w:val="20"/>
        </w:rPr>
        <w:t xml:space="preserve"> (Cambridge, MA: MIT Press, 1995).</w:t>
      </w:r>
    </w:p>
  </w:footnote>
  <w:footnote w:id="33">
    <w:p w14:paraId="1CDCF2C7"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Jack Goody, </w:t>
      </w:r>
      <w:r>
        <w:rPr>
          <w:rFonts w:ascii="Times New Roman" w:hAnsi="Times New Roman" w:cs="Times New Roman"/>
          <w:i/>
          <w:iCs/>
          <w:sz w:val="20"/>
          <w:szCs w:val="20"/>
        </w:rPr>
        <w:t>The Logic of Writing and the Organization of Society</w:t>
      </w:r>
      <w:r>
        <w:rPr>
          <w:rFonts w:ascii="Times New Roman" w:hAnsi="Times New Roman" w:cs="Times New Roman"/>
          <w:sz w:val="20"/>
          <w:szCs w:val="20"/>
        </w:rPr>
        <w:t xml:space="preserve"> (Cambridge: Cambridge University Press, 1986).</w:t>
      </w:r>
    </w:p>
  </w:footnote>
  <w:footnote w:id="34">
    <w:p w14:paraId="635A71DD" w14:textId="77777777" w:rsidR="00C96F90" w:rsidRDefault="00000000">
      <w:pPr>
        <w:pStyle w:val="FootnoteText"/>
      </w:pPr>
      <w:r>
        <w:rPr>
          <w:rStyle w:val="FootnoteReference"/>
        </w:rPr>
        <w:footnoteRef/>
      </w:r>
      <w:r>
        <w:rPr>
          <w:rFonts w:ascii="Times New Roman" w:hAnsi="Times New Roman" w:cs="Times New Roman"/>
          <w:sz w:val="20"/>
          <w:szCs w:val="20"/>
        </w:rPr>
        <w:t xml:space="preserve">Walter J. Ong, </w:t>
      </w:r>
      <w:r>
        <w:rPr>
          <w:rFonts w:ascii="Times New Roman" w:hAnsi="Times New Roman" w:cs="Times New Roman"/>
          <w:i/>
          <w:iCs/>
          <w:sz w:val="20"/>
          <w:szCs w:val="20"/>
        </w:rPr>
        <w:t>Orality and Literacy: The Technologizing of the Word</w:t>
      </w:r>
      <w:r>
        <w:rPr>
          <w:rFonts w:ascii="Times New Roman" w:hAnsi="Times New Roman" w:cs="Times New Roman"/>
          <w:sz w:val="20"/>
          <w:szCs w:val="20"/>
        </w:rPr>
        <w:t xml:space="preserve"> (London: Routledge, 1982).</w:t>
      </w:r>
    </w:p>
  </w:footnote>
  <w:footnote w:id="35">
    <w:p w14:paraId="1FCF269F"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Jacques Cauvin, </w:t>
      </w:r>
      <w:r>
        <w:rPr>
          <w:rFonts w:ascii="Times New Roman" w:hAnsi="Times New Roman" w:cs="Times New Roman"/>
          <w:i/>
          <w:iCs/>
          <w:sz w:val="20"/>
          <w:szCs w:val="20"/>
        </w:rPr>
        <w:t>The Birth of the Gods and the Origins of Agriculture</w:t>
      </w:r>
      <w:r>
        <w:rPr>
          <w:rFonts w:ascii="Times New Roman" w:hAnsi="Times New Roman" w:cs="Times New Roman"/>
          <w:sz w:val="20"/>
          <w:szCs w:val="20"/>
        </w:rPr>
        <w:t xml:space="preserve"> (Cambridge: Cambridge University Press, 2000).</w:t>
      </w:r>
    </w:p>
  </w:footnote>
  <w:footnote w:id="36">
    <w:p w14:paraId="6909547C" w14:textId="77777777" w:rsidR="00C96F90"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37">
    <w:p w14:paraId="25FB1821" w14:textId="77777777" w:rsidR="00C96F90"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38">
    <w:p w14:paraId="2CD95FDD"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Jacques Jaubert et al., "Early Neanderthal Constructions Deep in </w:t>
      </w:r>
      <w:proofErr w:type="spellStart"/>
      <w:r>
        <w:rPr>
          <w:rFonts w:ascii="Times New Roman" w:hAnsi="Times New Roman" w:cs="Times New Roman"/>
          <w:sz w:val="20"/>
          <w:szCs w:val="20"/>
        </w:rPr>
        <w:t>Bruniquel</w:t>
      </w:r>
      <w:proofErr w:type="spellEnd"/>
      <w:r>
        <w:rPr>
          <w:rFonts w:ascii="Times New Roman" w:hAnsi="Times New Roman" w:cs="Times New Roman"/>
          <w:sz w:val="20"/>
          <w:szCs w:val="20"/>
        </w:rPr>
        <w:t xml:space="preserve"> Cave in Southwestern France," </w:t>
      </w:r>
      <w:r>
        <w:rPr>
          <w:rFonts w:ascii="Times New Roman" w:hAnsi="Times New Roman" w:cs="Times New Roman"/>
          <w:i/>
          <w:iCs/>
          <w:sz w:val="20"/>
          <w:szCs w:val="20"/>
        </w:rPr>
        <w:t>Nature</w:t>
      </w:r>
      <w:r>
        <w:rPr>
          <w:rFonts w:ascii="Times New Roman" w:hAnsi="Times New Roman" w:cs="Times New Roman"/>
          <w:sz w:val="20"/>
          <w:szCs w:val="20"/>
        </w:rPr>
        <w:t xml:space="preserve"> 534 (2016): 111–114.</w:t>
      </w:r>
    </w:p>
  </w:footnote>
  <w:footnote w:id="39">
    <w:p w14:paraId="2A3F6BC4" w14:textId="77777777" w:rsidR="00C96F90" w:rsidRDefault="00000000">
      <w:pPr>
        <w:pStyle w:val="FootnoteText"/>
      </w:pPr>
      <w:r>
        <w:rPr>
          <w:rStyle w:val="FootnoteReference"/>
        </w:rPr>
        <w:footnoteRef/>
      </w:r>
      <w:r>
        <w:rPr>
          <w:rFonts w:ascii="Times New Roman" w:hAnsi="Times New Roman" w:cs="Times New Roman"/>
          <w:sz w:val="20"/>
          <w:szCs w:val="20"/>
        </w:rPr>
        <w:t xml:space="preserve">Thomas Wynn and Frederick L. Coolidge, "The Expert Neandertal Mind," </w:t>
      </w:r>
      <w:r>
        <w:rPr>
          <w:rFonts w:ascii="Times New Roman" w:hAnsi="Times New Roman" w:cs="Times New Roman"/>
          <w:i/>
          <w:iCs/>
          <w:sz w:val="20"/>
          <w:szCs w:val="20"/>
        </w:rPr>
        <w:t>Journal of Human Evolution</w:t>
      </w:r>
      <w:r>
        <w:rPr>
          <w:rFonts w:ascii="Times New Roman" w:hAnsi="Times New Roman" w:cs="Times New Roman"/>
          <w:sz w:val="20"/>
          <w:szCs w:val="20"/>
        </w:rPr>
        <w:t xml:space="preserve"> 46, no. 4 (2004): 467–487.</w:t>
      </w:r>
    </w:p>
  </w:footnote>
  <w:footnote w:id="40">
    <w:p w14:paraId="5E1606CF" w14:textId="77777777" w:rsidR="00C96F90" w:rsidRDefault="00000000">
      <w:pPr>
        <w:pStyle w:val="FootnoteText"/>
      </w:pPr>
      <w:r>
        <w:rPr>
          <w:rStyle w:val="FootnoteReference"/>
        </w:rPr>
        <w:footnoteRef/>
      </w:r>
      <w:r>
        <w:rPr>
          <w:rFonts w:ascii="Times New Roman" w:hAnsi="Times New Roman" w:cs="Times New Roman"/>
          <w:sz w:val="20"/>
          <w:szCs w:val="20"/>
        </w:rPr>
        <w:t xml:space="preserve">Christopher S. </w:t>
      </w:r>
      <w:proofErr w:type="spellStart"/>
      <w:r>
        <w:rPr>
          <w:rFonts w:ascii="Times New Roman" w:hAnsi="Times New Roman" w:cs="Times New Roman"/>
          <w:sz w:val="20"/>
          <w:szCs w:val="20"/>
        </w:rPr>
        <w:t>Henshilwood</w:t>
      </w:r>
      <w:proofErr w:type="spellEnd"/>
      <w:r>
        <w:rPr>
          <w:rFonts w:ascii="Times New Roman" w:hAnsi="Times New Roman" w:cs="Times New Roman"/>
          <w:sz w:val="20"/>
          <w:szCs w:val="20"/>
        </w:rPr>
        <w:t xml:space="preserve"> et al., "Engraved Ochres from the Middle Stone Age Levels at Blombos Cave, South Africa," </w:t>
      </w:r>
      <w:r>
        <w:rPr>
          <w:rFonts w:ascii="Times New Roman" w:hAnsi="Times New Roman" w:cs="Times New Roman"/>
          <w:i/>
          <w:iCs/>
          <w:sz w:val="20"/>
          <w:szCs w:val="20"/>
        </w:rPr>
        <w:t>Journal of Human Evolution</w:t>
      </w:r>
      <w:r>
        <w:rPr>
          <w:rFonts w:ascii="Times New Roman" w:hAnsi="Times New Roman" w:cs="Times New Roman"/>
          <w:sz w:val="20"/>
          <w:szCs w:val="20"/>
        </w:rPr>
        <w:t xml:space="preserve"> 57, no. 1 (2009): 27–47.</w:t>
      </w:r>
    </w:p>
  </w:footnote>
  <w:footnote w:id="41">
    <w:p w14:paraId="0E100D6B" w14:textId="77777777" w:rsidR="00C96F90" w:rsidRDefault="00000000">
      <w:pPr>
        <w:pStyle w:val="FootnoteText"/>
      </w:pPr>
      <w:r>
        <w:rPr>
          <w:rStyle w:val="FootnoteReference"/>
        </w:rPr>
        <w:footnoteRef/>
      </w:r>
      <w:r>
        <w:rPr>
          <w:rFonts w:ascii="Times New Roman" w:hAnsi="Times New Roman" w:cs="Times New Roman"/>
          <w:sz w:val="20"/>
          <w:szCs w:val="20"/>
        </w:rPr>
        <w:t xml:space="preserve">Adhi Agus </w:t>
      </w:r>
      <w:proofErr w:type="spellStart"/>
      <w:r>
        <w:rPr>
          <w:rFonts w:ascii="Times New Roman" w:hAnsi="Times New Roman" w:cs="Times New Roman"/>
          <w:sz w:val="20"/>
          <w:szCs w:val="20"/>
        </w:rPr>
        <w:t>Oktaviana</w:t>
      </w:r>
      <w:proofErr w:type="spellEnd"/>
      <w:r>
        <w:rPr>
          <w:rFonts w:ascii="Times New Roman" w:hAnsi="Times New Roman" w:cs="Times New Roman"/>
          <w:sz w:val="20"/>
          <w:szCs w:val="20"/>
        </w:rPr>
        <w:t xml:space="preserve"> et al., "Narrative Cave Art in Indonesia by 51,200 Years Ago," </w:t>
      </w:r>
      <w:r>
        <w:rPr>
          <w:rFonts w:ascii="Times New Roman" w:hAnsi="Times New Roman" w:cs="Times New Roman"/>
          <w:i/>
          <w:iCs/>
          <w:sz w:val="20"/>
          <w:szCs w:val="20"/>
        </w:rPr>
        <w:t>Nature</w:t>
      </w:r>
      <w:r>
        <w:rPr>
          <w:rFonts w:ascii="Times New Roman" w:hAnsi="Times New Roman" w:cs="Times New Roman"/>
          <w:sz w:val="20"/>
          <w:szCs w:val="20"/>
        </w:rPr>
        <w:t xml:space="preserve"> 631 (2024): 814–818.</w:t>
      </w:r>
    </w:p>
  </w:footnote>
  <w:footnote w:id="42">
    <w:p w14:paraId="18DF69A9" w14:textId="77777777" w:rsidR="00C96F90" w:rsidRDefault="00000000">
      <w:pPr>
        <w:pStyle w:val="FootnoteText"/>
      </w:pPr>
      <w:r>
        <w:rPr>
          <w:rStyle w:val="FootnoteReference"/>
        </w:rPr>
        <w:footnoteRef/>
      </w:r>
      <w:r>
        <w:rPr>
          <w:rFonts w:ascii="Times New Roman" w:hAnsi="Times New Roman" w:cs="Times New Roman"/>
          <w:sz w:val="20"/>
          <w:szCs w:val="20"/>
        </w:rPr>
        <w:t xml:space="preserve">Bruce G. Trigger, </w:t>
      </w:r>
      <w:r>
        <w:rPr>
          <w:rFonts w:ascii="Times New Roman" w:hAnsi="Times New Roman" w:cs="Times New Roman"/>
          <w:i/>
          <w:iCs/>
          <w:sz w:val="20"/>
          <w:szCs w:val="20"/>
        </w:rPr>
        <w:t>Understanding Early Civilizations: A Comparative Study</w:t>
      </w:r>
      <w:r>
        <w:rPr>
          <w:rFonts w:ascii="Times New Roman" w:hAnsi="Times New Roman" w:cs="Times New Roman"/>
          <w:sz w:val="20"/>
          <w:szCs w:val="20"/>
        </w:rPr>
        <w:t xml:space="preserve"> (Cambridge: Cambridge University Press, 2003).</w:t>
      </w:r>
    </w:p>
  </w:footnote>
  <w:footnote w:id="43">
    <w:p w14:paraId="4DE53D2E" w14:textId="77777777" w:rsidR="00C96F90" w:rsidRDefault="00000000">
      <w:pPr>
        <w:pStyle w:val="FootnoteText"/>
      </w:pPr>
      <w:r>
        <w:rPr>
          <w:rStyle w:val="FootnoteReference"/>
        </w:rPr>
        <w:footnoteRef/>
      </w:r>
      <w:r>
        <w:rPr>
          <w:rFonts w:ascii="Times New Roman" w:hAnsi="Times New Roman" w:cs="Times New Roman"/>
          <w:sz w:val="20"/>
          <w:szCs w:val="20"/>
        </w:rPr>
        <w:t xml:space="preserve">Clive Gamble, </w:t>
      </w:r>
      <w:r>
        <w:rPr>
          <w:rFonts w:ascii="Times New Roman" w:hAnsi="Times New Roman" w:cs="Times New Roman"/>
          <w:i/>
          <w:iCs/>
          <w:sz w:val="20"/>
          <w:szCs w:val="20"/>
        </w:rPr>
        <w:t>Settling the Earth: The Archaeology of Deep Human History</w:t>
      </w:r>
      <w:r>
        <w:rPr>
          <w:rFonts w:ascii="Times New Roman" w:hAnsi="Times New Roman" w:cs="Times New Roman"/>
          <w:sz w:val="20"/>
          <w:szCs w:val="20"/>
        </w:rPr>
        <w:t xml:space="preserve"> (Cambridge: Cambridge University Press, 2013).</w:t>
      </w:r>
    </w:p>
  </w:footnote>
  <w:footnote w:id="44">
    <w:p w14:paraId="6E68DDCF" w14:textId="77777777" w:rsidR="00C96F90" w:rsidRDefault="00000000">
      <w:pPr>
        <w:pStyle w:val="FootnoteText"/>
      </w:pPr>
      <w:r>
        <w:rPr>
          <w:rStyle w:val="FootnoteReference"/>
        </w:rPr>
        <w:footnoteRef/>
      </w:r>
      <w:r>
        <w:rPr>
          <w:rFonts w:ascii="Times New Roman" w:hAnsi="Times New Roman" w:cs="Times New Roman"/>
          <w:sz w:val="20"/>
          <w:szCs w:val="20"/>
        </w:rPr>
        <w:t>Denise Schmandt-</w:t>
      </w:r>
      <w:proofErr w:type="spellStart"/>
      <w:r>
        <w:rPr>
          <w:rFonts w:ascii="Times New Roman" w:hAnsi="Times New Roman" w:cs="Times New Roman"/>
          <w:sz w:val="20"/>
          <w:szCs w:val="20"/>
        </w:rPr>
        <w:t>Besserat</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Before Writing: From Counting to Cuneiform</w:t>
      </w:r>
      <w:r>
        <w:rPr>
          <w:rFonts w:ascii="Times New Roman" w:hAnsi="Times New Roman" w:cs="Times New Roman"/>
          <w:sz w:val="20"/>
          <w:szCs w:val="20"/>
        </w:rPr>
        <w:t xml:space="preserve"> (Austin: University of Texas Press, 1992).</w:t>
      </w:r>
    </w:p>
  </w:footnote>
  <w:footnote w:id="45">
    <w:p w14:paraId="48122EB5"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Jack Goody, </w:t>
      </w:r>
      <w:r>
        <w:rPr>
          <w:rFonts w:ascii="Times New Roman" w:hAnsi="Times New Roman" w:cs="Times New Roman"/>
          <w:i/>
          <w:iCs/>
          <w:sz w:val="20"/>
          <w:szCs w:val="20"/>
        </w:rPr>
        <w:t>The Logic of Writing and the Organization of Society</w:t>
      </w:r>
      <w:r>
        <w:rPr>
          <w:rFonts w:ascii="Times New Roman" w:hAnsi="Times New Roman" w:cs="Times New Roman"/>
          <w:sz w:val="20"/>
          <w:szCs w:val="20"/>
        </w:rPr>
        <w:t xml:space="preserve"> (Cambridge: Cambridge University Press, 1986).</w:t>
      </w:r>
    </w:p>
  </w:footnote>
  <w:footnote w:id="46">
    <w:p w14:paraId="7C96ADCB" w14:textId="77777777" w:rsidR="00C96F90" w:rsidRDefault="00000000">
      <w:pPr>
        <w:pStyle w:val="FootnoteText"/>
      </w:pPr>
      <w:r>
        <w:rPr>
          <w:rStyle w:val="FootnoteReference"/>
        </w:rPr>
        <w:footnoteRef/>
      </w:r>
      <w:r>
        <w:rPr>
          <w:rFonts w:ascii="Times New Roman" w:hAnsi="Times New Roman" w:cs="Times New Roman"/>
          <w:sz w:val="20"/>
          <w:szCs w:val="20"/>
        </w:rPr>
        <w:t xml:space="preserve">Stephen D. Houston, ed., </w:t>
      </w:r>
      <w:r>
        <w:rPr>
          <w:rFonts w:ascii="Times New Roman" w:hAnsi="Times New Roman" w:cs="Times New Roman"/>
          <w:i/>
          <w:iCs/>
          <w:sz w:val="20"/>
          <w:szCs w:val="20"/>
        </w:rPr>
        <w:t>The First Writing: Script Invention as History and Process</w:t>
      </w:r>
      <w:r>
        <w:rPr>
          <w:rFonts w:ascii="Times New Roman" w:hAnsi="Times New Roman" w:cs="Times New Roman"/>
          <w:sz w:val="20"/>
          <w:szCs w:val="20"/>
        </w:rPr>
        <w:t xml:space="preserve"> (Cambridge: Cambridge University Press, 2004).</w:t>
      </w:r>
    </w:p>
  </w:footnote>
  <w:footnote w:id="47">
    <w:p w14:paraId="3B962EFF" w14:textId="77777777" w:rsidR="00C96F90" w:rsidRDefault="00000000">
      <w:pPr>
        <w:pStyle w:val="FootnoteText"/>
      </w:pPr>
      <w:r>
        <w:rPr>
          <w:rStyle w:val="FootnoteReference"/>
        </w:rPr>
        <w:footnoteRef/>
      </w:r>
      <w:r>
        <w:rPr>
          <w:rFonts w:ascii="Times New Roman" w:hAnsi="Times New Roman" w:cs="Times New Roman"/>
          <w:sz w:val="20"/>
          <w:szCs w:val="20"/>
        </w:rPr>
        <w:t>Anthony Vondoom, "The Deep Symbolic Systems Model (DSSM): A Cognitive–Ritual Framework for Early Monumentality and Cultural Continuity," SSRN, 2025. https://doi.org/10.2139/ssrn.6003734.</w:t>
      </w:r>
    </w:p>
  </w:footnote>
  <w:footnote w:id="48">
    <w:p w14:paraId="0B95B5D8" w14:textId="77777777" w:rsidR="00C96F90" w:rsidRDefault="00000000">
      <w:pPr>
        <w:pStyle w:val="FootnoteText"/>
      </w:pPr>
      <w:r>
        <w:rPr>
          <w:rStyle w:val="FootnoteReference"/>
        </w:rPr>
        <w:footnoteRef/>
      </w:r>
      <w:r>
        <w:rPr>
          <w:rFonts w:ascii="Times New Roman" w:hAnsi="Times New Roman" w:cs="Times New Roman"/>
          <w:sz w:val="20"/>
          <w:szCs w:val="20"/>
        </w:rPr>
        <w:t xml:space="preserve">Clive Gamble, </w:t>
      </w:r>
      <w:r>
        <w:rPr>
          <w:rFonts w:ascii="Times New Roman" w:hAnsi="Times New Roman" w:cs="Times New Roman"/>
          <w:i/>
          <w:iCs/>
          <w:sz w:val="20"/>
          <w:szCs w:val="20"/>
        </w:rPr>
        <w:t>Settling the Earth: The Archaeology of Deep Human History</w:t>
      </w:r>
      <w:r>
        <w:rPr>
          <w:rFonts w:ascii="Times New Roman" w:hAnsi="Times New Roman" w:cs="Times New Roman"/>
          <w:sz w:val="20"/>
          <w:szCs w:val="20"/>
        </w:rPr>
        <w:t xml:space="preserve"> (Cambridge: Cambridge University Press, 2013).</w:t>
      </w:r>
    </w:p>
  </w:footnote>
  <w:footnote w:id="49">
    <w:p w14:paraId="096DE4B5" w14:textId="77777777" w:rsidR="00C96F90" w:rsidRDefault="00000000">
      <w:pPr>
        <w:pStyle w:val="FootnoteText"/>
      </w:pPr>
      <w:r>
        <w:rPr>
          <w:rStyle w:val="FootnoteReference"/>
        </w:rPr>
        <w:footnoteRef/>
      </w:r>
      <w:r>
        <w:rPr>
          <w:rFonts w:ascii="Times New Roman" w:hAnsi="Times New Roman" w:cs="Times New Roman"/>
          <w:sz w:val="20"/>
          <w:szCs w:val="20"/>
        </w:rPr>
        <w:t xml:space="preserve">Colin Renfrew, </w:t>
      </w:r>
      <w:r>
        <w:rPr>
          <w:rFonts w:ascii="Times New Roman" w:hAnsi="Times New Roman" w:cs="Times New Roman"/>
          <w:i/>
          <w:iCs/>
          <w:sz w:val="20"/>
          <w:szCs w:val="20"/>
        </w:rPr>
        <w:t>Figuring It Out: The Parallel Visions of Artists and Archaeologists</w:t>
      </w:r>
      <w:r>
        <w:rPr>
          <w:rFonts w:ascii="Times New Roman" w:hAnsi="Times New Roman" w:cs="Times New Roman"/>
          <w:sz w:val="20"/>
          <w:szCs w:val="20"/>
        </w:rPr>
        <w:t xml:space="preserve"> (London: Thames and Hudson, 2003).</w:t>
      </w:r>
    </w:p>
  </w:footnote>
  <w:footnote w:id="50">
    <w:p w14:paraId="57EBA0EF" w14:textId="77777777" w:rsidR="00C96F90"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51">
    <w:p w14:paraId="0589DEF9" w14:textId="77777777" w:rsidR="00C96F90"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52">
    <w:p w14:paraId="153BAA63" w14:textId="77777777" w:rsidR="00C96F90" w:rsidRDefault="00000000">
      <w:pPr>
        <w:pStyle w:val="FootnoteText"/>
      </w:pPr>
      <w:r>
        <w:rPr>
          <w:rStyle w:val="FootnoteReference"/>
        </w:rPr>
        <w:footnoteRef/>
      </w:r>
      <w:r>
        <w:rPr>
          <w:rFonts w:ascii="Times New Roman" w:hAnsi="Times New Roman" w:cs="Times New Roman"/>
          <w:sz w:val="20"/>
          <w:szCs w:val="20"/>
        </w:rPr>
        <w:t xml:space="preserve">Christopher S. </w:t>
      </w:r>
      <w:proofErr w:type="spellStart"/>
      <w:r>
        <w:rPr>
          <w:rFonts w:ascii="Times New Roman" w:hAnsi="Times New Roman" w:cs="Times New Roman"/>
          <w:sz w:val="20"/>
          <w:szCs w:val="20"/>
        </w:rPr>
        <w:t>Henshilwood</w:t>
      </w:r>
      <w:proofErr w:type="spellEnd"/>
      <w:r>
        <w:rPr>
          <w:rFonts w:ascii="Times New Roman" w:hAnsi="Times New Roman" w:cs="Times New Roman"/>
          <w:sz w:val="20"/>
          <w:szCs w:val="20"/>
        </w:rPr>
        <w:t xml:space="preserve"> et al., "Engraved Ochres from the Middle Stone Age Levels at Blombos Cave, South Africa," </w:t>
      </w:r>
      <w:r>
        <w:rPr>
          <w:rFonts w:ascii="Times New Roman" w:hAnsi="Times New Roman" w:cs="Times New Roman"/>
          <w:i/>
          <w:iCs/>
          <w:sz w:val="20"/>
          <w:szCs w:val="20"/>
        </w:rPr>
        <w:t>Journal of Human Evolution</w:t>
      </w:r>
      <w:r>
        <w:rPr>
          <w:rFonts w:ascii="Times New Roman" w:hAnsi="Times New Roman" w:cs="Times New Roman"/>
          <w:sz w:val="20"/>
          <w:szCs w:val="20"/>
        </w:rPr>
        <w:t xml:space="preserve"> 57, no. 1 (2009): 27–47.</w:t>
      </w:r>
    </w:p>
  </w:footnote>
  <w:footnote w:id="53">
    <w:p w14:paraId="2D0446B9" w14:textId="77777777" w:rsidR="00C96F90" w:rsidRDefault="00000000">
      <w:pPr>
        <w:pStyle w:val="FootnoteText"/>
      </w:pPr>
      <w:r>
        <w:rPr>
          <w:rStyle w:val="FootnoteReference"/>
        </w:rPr>
        <w:footnoteRef/>
      </w:r>
      <w:r>
        <w:rPr>
          <w:rFonts w:ascii="Times New Roman" w:hAnsi="Times New Roman" w:cs="Times New Roman"/>
          <w:sz w:val="20"/>
          <w:szCs w:val="20"/>
        </w:rPr>
        <w:t xml:space="preserve">Curtis W. Marean et al., "Early Human Use of Marine Resources and Pigment in South Africa during the Middle Pleistocene," </w:t>
      </w:r>
      <w:r>
        <w:rPr>
          <w:rFonts w:ascii="Times New Roman" w:hAnsi="Times New Roman" w:cs="Times New Roman"/>
          <w:i/>
          <w:iCs/>
          <w:sz w:val="20"/>
          <w:szCs w:val="20"/>
        </w:rPr>
        <w:t>Nature</w:t>
      </w:r>
      <w:r>
        <w:rPr>
          <w:rFonts w:ascii="Times New Roman" w:hAnsi="Times New Roman" w:cs="Times New Roman"/>
          <w:sz w:val="20"/>
          <w:szCs w:val="20"/>
        </w:rPr>
        <w:t xml:space="preserve"> 449 (2007): 905–908.</w:t>
      </w:r>
    </w:p>
  </w:footnote>
  <w:footnote w:id="54">
    <w:p w14:paraId="1819E7DF"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Jacques Jaubert et al., "Early Neanderthal Constructions Deep in </w:t>
      </w:r>
      <w:proofErr w:type="spellStart"/>
      <w:r>
        <w:rPr>
          <w:rFonts w:ascii="Times New Roman" w:hAnsi="Times New Roman" w:cs="Times New Roman"/>
          <w:sz w:val="20"/>
          <w:szCs w:val="20"/>
        </w:rPr>
        <w:t>Bruniquel</w:t>
      </w:r>
      <w:proofErr w:type="spellEnd"/>
      <w:r>
        <w:rPr>
          <w:rFonts w:ascii="Times New Roman" w:hAnsi="Times New Roman" w:cs="Times New Roman"/>
          <w:sz w:val="20"/>
          <w:szCs w:val="20"/>
        </w:rPr>
        <w:t xml:space="preserve"> Cave in Southwestern France," </w:t>
      </w:r>
      <w:r>
        <w:rPr>
          <w:rFonts w:ascii="Times New Roman" w:hAnsi="Times New Roman" w:cs="Times New Roman"/>
          <w:i/>
          <w:iCs/>
          <w:sz w:val="20"/>
          <w:szCs w:val="20"/>
        </w:rPr>
        <w:t>Nature</w:t>
      </w:r>
      <w:r>
        <w:rPr>
          <w:rFonts w:ascii="Times New Roman" w:hAnsi="Times New Roman" w:cs="Times New Roman"/>
          <w:sz w:val="20"/>
          <w:szCs w:val="20"/>
        </w:rPr>
        <w:t xml:space="preserve"> 534 (2016): 111–114.</w:t>
      </w:r>
    </w:p>
  </w:footnote>
  <w:footnote w:id="55">
    <w:p w14:paraId="34E1267C" w14:textId="77777777" w:rsidR="00C96F90" w:rsidRDefault="00000000">
      <w:pPr>
        <w:pStyle w:val="FootnoteText"/>
      </w:pPr>
      <w:r>
        <w:rPr>
          <w:rStyle w:val="FootnoteReference"/>
        </w:rPr>
        <w:footnoteRef/>
      </w:r>
      <w:r>
        <w:rPr>
          <w:rFonts w:ascii="Times New Roman" w:hAnsi="Times New Roman" w:cs="Times New Roman"/>
          <w:sz w:val="20"/>
          <w:szCs w:val="20"/>
        </w:rPr>
        <w:t xml:space="preserve">João </w:t>
      </w:r>
      <w:proofErr w:type="spellStart"/>
      <w:r>
        <w:rPr>
          <w:rFonts w:ascii="Times New Roman" w:hAnsi="Times New Roman" w:cs="Times New Roman"/>
          <w:sz w:val="20"/>
          <w:szCs w:val="20"/>
        </w:rPr>
        <w:t>Zilhão</w:t>
      </w:r>
      <w:proofErr w:type="spellEnd"/>
      <w:r>
        <w:rPr>
          <w:rFonts w:ascii="Times New Roman" w:hAnsi="Times New Roman" w:cs="Times New Roman"/>
          <w:sz w:val="20"/>
          <w:szCs w:val="20"/>
        </w:rPr>
        <w:t xml:space="preserve">, “Symbolic Use of Marine Shells and Mineral Pigments by Iberian Neandertals,” </w:t>
      </w:r>
      <w:r>
        <w:rPr>
          <w:rFonts w:ascii="Times New Roman" w:hAnsi="Times New Roman" w:cs="Times New Roman"/>
          <w:i/>
          <w:iCs/>
          <w:sz w:val="20"/>
          <w:szCs w:val="20"/>
        </w:rPr>
        <w:t>Proceedings of the National Academy of Sciences</w:t>
      </w:r>
      <w:r>
        <w:rPr>
          <w:rFonts w:ascii="Times New Roman" w:hAnsi="Times New Roman" w:cs="Times New Roman"/>
          <w:sz w:val="20"/>
          <w:szCs w:val="20"/>
        </w:rPr>
        <w:t xml:space="preserve"> 107, no. 3 (2010): 1023–1028.</w:t>
      </w:r>
    </w:p>
  </w:footnote>
  <w:footnote w:id="56">
    <w:p w14:paraId="3C8E4009" w14:textId="77777777" w:rsidR="00C96F90" w:rsidRDefault="00000000">
      <w:pPr>
        <w:pStyle w:val="FootnoteText"/>
      </w:pPr>
      <w:r>
        <w:rPr>
          <w:rStyle w:val="FootnoteReference"/>
        </w:rPr>
        <w:footnoteRef/>
      </w:r>
      <w:r>
        <w:rPr>
          <w:rFonts w:ascii="Times New Roman" w:hAnsi="Times New Roman" w:cs="Times New Roman"/>
          <w:sz w:val="20"/>
          <w:szCs w:val="20"/>
        </w:rPr>
        <w:t xml:space="preserve">Daniella E. Bar-Yosef Mayer, Bernard Vandermeersch, and Ofer Bar-Yosef, "Shells and Ochre in Middle Paleolithic Qafzeh Cave, Israel," </w:t>
      </w:r>
      <w:r>
        <w:rPr>
          <w:rFonts w:ascii="Times New Roman" w:hAnsi="Times New Roman" w:cs="Times New Roman"/>
          <w:i/>
          <w:iCs/>
          <w:sz w:val="20"/>
          <w:szCs w:val="20"/>
        </w:rPr>
        <w:t>Journal of Human Evolution</w:t>
      </w:r>
      <w:r>
        <w:rPr>
          <w:rFonts w:ascii="Times New Roman" w:hAnsi="Times New Roman" w:cs="Times New Roman"/>
          <w:sz w:val="20"/>
          <w:szCs w:val="20"/>
        </w:rPr>
        <w:t xml:space="preserve"> 56, no. 3 (2009): 307–314.</w:t>
      </w:r>
    </w:p>
  </w:footnote>
  <w:footnote w:id="57">
    <w:p w14:paraId="383B5CB5" w14:textId="77777777" w:rsidR="00C96F90" w:rsidRDefault="00000000">
      <w:pPr>
        <w:pStyle w:val="FootnoteText"/>
      </w:pPr>
      <w:r>
        <w:rPr>
          <w:rStyle w:val="FootnoteReference"/>
        </w:rPr>
        <w:footnoteRef/>
      </w:r>
      <w:r>
        <w:rPr>
          <w:rFonts w:ascii="Times New Roman" w:hAnsi="Times New Roman" w:cs="Times New Roman"/>
          <w:sz w:val="20"/>
          <w:szCs w:val="20"/>
        </w:rPr>
        <w:t xml:space="preserve">Adhi Agus </w:t>
      </w:r>
      <w:proofErr w:type="spellStart"/>
      <w:r>
        <w:rPr>
          <w:rFonts w:ascii="Times New Roman" w:hAnsi="Times New Roman" w:cs="Times New Roman"/>
          <w:sz w:val="20"/>
          <w:szCs w:val="20"/>
        </w:rPr>
        <w:t>Oktaviana</w:t>
      </w:r>
      <w:proofErr w:type="spellEnd"/>
      <w:r>
        <w:rPr>
          <w:rFonts w:ascii="Times New Roman" w:hAnsi="Times New Roman" w:cs="Times New Roman"/>
          <w:sz w:val="20"/>
          <w:szCs w:val="20"/>
        </w:rPr>
        <w:t xml:space="preserve"> et al., "Narrative Cave Art in Indonesia by 51,200 Years Ago," </w:t>
      </w:r>
      <w:r>
        <w:rPr>
          <w:rFonts w:ascii="Times New Roman" w:hAnsi="Times New Roman" w:cs="Times New Roman"/>
          <w:i/>
          <w:iCs/>
          <w:sz w:val="20"/>
          <w:szCs w:val="20"/>
        </w:rPr>
        <w:t>Nature</w:t>
      </w:r>
      <w:r>
        <w:rPr>
          <w:rFonts w:ascii="Times New Roman" w:hAnsi="Times New Roman" w:cs="Times New Roman"/>
          <w:sz w:val="20"/>
          <w:szCs w:val="20"/>
        </w:rPr>
        <w:t xml:space="preserve"> 631 (2024): 814–818.</w:t>
      </w:r>
    </w:p>
  </w:footnote>
  <w:footnote w:id="58">
    <w:p w14:paraId="58605183" w14:textId="77777777" w:rsidR="00C96F90"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59">
    <w:p w14:paraId="0223EC8E" w14:textId="77777777" w:rsidR="00C96F90"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60">
    <w:p w14:paraId="3736AE85" w14:textId="77777777" w:rsidR="00C96F90" w:rsidRDefault="00000000">
      <w:pPr>
        <w:pStyle w:val="FootnoteText"/>
      </w:pPr>
      <w:r>
        <w:rPr>
          <w:rStyle w:val="FootnoteReference"/>
        </w:rPr>
        <w:footnoteRef/>
      </w:r>
      <w:r>
        <w:rPr>
          <w:rFonts w:ascii="Times New Roman" w:hAnsi="Times New Roman" w:cs="Times New Roman"/>
          <w:sz w:val="20"/>
          <w:szCs w:val="20"/>
        </w:rPr>
        <w:t xml:space="preserve">Clive Gamble, </w:t>
      </w:r>
      <w:r>
        <w:rPr>
          <w:rFonts w:ascii="Times New Roman" w:hAnsi="Times New Roman" w:cs="Times New Roman"/>
          <w:i/>
          <w:iCs/>
          <w:sz w:val="20"/>
          <w:szCs w:val="20"/>
        </w:rPr>
        <w:t>Settling the Earth: The Archaeology of Deep Human History</w:t>
      </w:r>
      <w:r>
        <w:rPr>
          <w:rFonts w:ascii="Times New Roman" w:hAnsi="Times New Roman" w:cs="Times New Roman"/>
          <w:sz w:val="20"/>
          <w:szCs w:val="20"/>
        </w:rPr>
        <w:t xml:space="preserve"> (Cambridge: Cambridge University Press, 2013).</w:t>
      </w:r>
    </w:p>
  </w:footnote>
  <w:footnote w:id="61">
    <w:p w14:paraId="47D2013B" w14:textId="77777777" w:rsidR="00C96F90" w:rsidRDefault="00000000">
      <w:pPr>
        <w:pStyle w:val="FootnoteText"/>
      </w:pPr>
      <w:r>
        <w:rPr>
          <w:rStyle w:val="FootnoteReference"/>
        </w:rPr>
        <w:footnoteRef/>
      </w:r>
      <w:r>
        <w:rPr>
          <w:rFonts w:ascii="Times New Roman" w:hAnsi="Times New Roman" w:cs="Times New Roman"/>
          <w:sz w:val="20"/>
          <w:szCs w:val="20"/>
        </w:rPr>
        <w:t xml:space="preserve">Kim Sterelny, </w:t>
      </w:r>
      <w:r>
        <w:rPr>
          <w:rFonts w:ascii="Times New Roman" w:hAnsi="Times New Roman" w:cs="Times New Roman"/>
          <w:i/>
          <w:iCs/>
          <w:sz w:val="20"/>
          <w:szCs w:val="20"/>
        </w:rPr>
        <w:t>The Evolved Apprentice: How Evolution Made Humans Unique</w:t>
      </w:r>
      <w:r>
        <w:rPr>
          <w:rFonts w:ascii="Times New Roman" w:hAnsi="Times New Roman" w:cs="Times New Roman"/>
          <w:sz w:val="20"/>
          <w:szCs w:val="20"/>
        </w:rPr>
        <w:t xml:space="preserve"> (Cambridge, MA: MIT Press, 2012).</w:t>
      </w:r>
    </w:p>
  </w:footnote>
  <w:footnote w:id="62">
    <w:p w14:paraId="5E8607E7" w14:textId="77777777" w:rsidR="00C96F90" w:rsidRDefault="00000000">
      <w:pPr>
        <w:pStyle w:val="FootnoteText"/>
      </w:pPr>
      <w:r>
        <w:rPr>
          <w:rStyle w:val="FootnoteReference"/>
        </w:rPr>
        <w:footnoteRef/>
      </w:r>
      <w:r>
        <w:rPr>
          <w:rFonts w:ascii="Times New Roman" w:hAnsi="Times New Roman" w:cs="Times New Roman"/>
          <w:sz w:val="20"/>
          <w:szCs w:val="20"/>
        </w:rPr>
        <w:t xml:space="preserve">Sally McBrearty and Alison S. Brooks, "The Revolution That Wasn't: A New Interpretation of the Origin of Modern Human Behavior," </w:t>
      </w:r>
      <w:r>
        <w:rPr>
          <w:rFonts w:ascii="Times New Roman" w:hAnsi="Times New Roman" w:cs="Times New Roman"/>
          <w:i/>
          <w:iCs/>
          <w:sz w:val="20"/>
          <w:szCs w:val="20"/>
        </w:rPr>
        <w:t>Journal of Human Evolution</w:t>
      </w:r>
      <w:r>
        <w:rPr>
          <w:rFonts w:ascii="Times New Roman" w:hAnsi="Times New Roman" w:cs="Times New Roman"/>
          <w:sz w:val="20"/>
          <w:szCs w:val="20"/>
        </w:rPr>
        <w:t xml:space="preserve"> 39, no. 5 (2000): 453–563.</w:t>
      </w:r>
    </w:p>
  </w:footnote>
  <w:footnote w:id="63">
    <w:p w14:paraId="56EA1018" w14:textId="77777777" w:rsidR="00C96F90" w:rsidRDefault="00000000">
      <w:pPr>
        <w:pStyle w:val="FootnoteText"/>
      </w:pPr>
      <w:r>
        <w:rPr>
          <w:rStyle w:val="FootnoteReference"/>
        </w:rPr>
        <w:footnoteRef/>
      </w:r>
      <w:r>
        <w:rPr>
          <w:rFonts w:ascii="Times New Roman" w:hAnsi="Times New Roman" w:cs="Times New Roman"/>
          <w:sz w:val="20"/>
          <w:szCs w:val="20"/>
        </w:rPr>
        <w:t xml:space="preserve">Paul Mellars, "Why Did Modern Human Populations Disperse from Africa ca. 60,000 Years Ago?" </w:t>
      </w:r>
      <w:r>
        <w:rPr>
          <w:rFonts w:ascii="Times New Roman" w:hAnsi="Times New Roman" w:cs="Times New Roman"/>
          <w:i/>
          <w:iCs/>
          <w:sz w:val="20"/>
          <w:szCs w:val="20"/>
        </w:rPr>
        <w:t>Proceedings of the National Academy of Sciences</w:t>
      </w:r>
      <w:r>
        <w:rPr>
          <w:rFonts w:ascii="Times New Roman" w:hAnsi="Times New Roman" w:cs="Times New Roman"/>
          <w:sz w:val="20"/>
          <w:szCs w:val="20"/>
        </w:rPr>
        <w:t xml:space="preserve"> 103, no. 25 (2006): 9381–9386.</w:t>
      </w:r>
    </w:p>
  </w:footnote>
  <w:footnote w:id="64">
    <w:p w14:paraId="6C784720" w14:textId="77777777" w:rsidR="00C96F90" w:rsidRDefault="00000000">
      <w:pPr>
        <w:pStyle w:val="FootnoteText"/>
      </w:pPr>
      <w:r>
        <w:rPr>
          <w:rStyle w:val="FootnoteReference"/>
        </w:rPr>
        <w:footnoteRef/>
      </w:r>
      <w:r>
        <w:rPr>
          <w:rFonts w:ascii="Times New Roman" w:hAnsi="Times New Roman" w:cs="Times New Roman"/>
          <w:sz w:val="20"/>
          <w:szCs w:val="20"/>
        </w:rPr>
        <w:t xml:space="preserve">Bruce G. Trigger, </w:t>
      </w:r>
      <w:r>
        <w:rPr>
          <w:rFonts w:ascii="Times New Roman" w:hAnsi="Times New Roman" w:cs="Times New Roman"/>
          <w:i/>
          <w:iCs/>
          <w:sz w:val="20"/>
          <w:szCs w:val="20"/>
        </w:rPr>
        <w:t>Understanding Early Civilizations: A Comparative Study</w:t>
      </w:r>
      <w:r>
        <w:rPr>
          <w:rFonts w:ascii="Times New Roman" w:hAnsi="Times New Roman" w:cs="Times New Roman"/>
          <w:sz w:val="20"/>
          <w:szCs w:val="20"/>
        </w:rPr>
        <w:t xml:space="preserve"> (Cambridge: Cambridge University Press, 2003).</w:t>
      </w:r>
    </w:p>
  </w:footnote>
  <w:footnote w:id="65">
    <w:p w14:paraId="5D4D91BB" w14:textId="77777777" w:rsidR="00C96F90" w:rsidRDefault="00000000">
      <w:pPr>
        <w:pStyle w:val="FootnoteText"/>
      </w:pPr>
      <w:r>
        <w:rPr>
          <w:rStyle w:val="FootnoteReference"/>
        </w:rPr>
        <w:footnoteRef/>
      </w:r>
      <w:r>
        <w:rPr>
          <w:rFonts w:ascii="Times New Roman" w:hAnsi="Times New Roman" w:cs="Times New Roman"/>
          <w:sz w:val="20"/>
          <w:szCs w:val="20"/>
        </w:rPr>
        <w:t xml:space="preserve">Douglass C. North, </w:t>
      </w:r>
      <w:r>
        <w:rPr>
          <w:rFonts w:ascii="Times New Roman" w:hAnsi="Times New Roman" w:cs="Times New Roman"/>
          <w:i/>
          <w:iCs/>
          <w:sz w:val="20"/>
          <w:szCs w:val="20"/>
        </w:rPr>
        <w:t>Institutions, Institutional Change and Economic Performance</w:t>
      </w:r>
      <w:r>
        <w:rPr>
          <w:rFonts w:ascii="Times New Roman" w:hAnsi="Times New Roman" w:cs="Times New Roman"/>
          <w:sz w:val="20"/>
          <w:szCs w:val="20"/>
        </w:rPr>
        <w:t xml:space="preserve"> (Cambridge: Cambridge University Press, 1990).</w:t>
      </w:r>
    </w:p>
  </w:footnote>
  <w:footnote w:id="66">
    <w:p w14:paraId="03DC9D90" w14:textId="77777777" w:rsidR="00C96F90"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67">
    <w:p w14:paraId="41953CA2" w14:textId="77777777" w:rsidR="00C96F90"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68">
    <w:p w14:paraId="1543E9D9" w14:textId="77777777" w:rsidR="00C96F90" w:rsidRDefault="00000000">
      <w:pPr>
        <w:pStyle w:val="FootnoteText"/>
      </w:pPr>
      <w:r>
        <w:rPr>
          <w:rStyle w:val="FootnoteReference"/>
        </w:rPr>
        <w:footnoteRef/>
      </w:r>
      <w:r>
        <w:rPr>
          <w:rFonts w:ascii="Times New Roman" w:hAnsi="Times New Roman" w:cs="Times New Roman"/>
          <w:sz w:val="20"/>
          <w:szCs w:val="20"/>
        </w:rPr>
        <w:t xml:space="preserve">United Nations, </w:t>
      </w:r>
      <w:r>
        <w:rPr>
          <w:rFonts w:ascii="Times New Roman" w:hAnsi="Times New Roman" w:cs="Times New Roman"/>
          <w:i/>
          <w:iCs/>
          <w:sz w:val="20"/>
          <w:szCs w:val="20"/>
        </w:rPr>
        <w:t>The Sustainable Development Goals Report 2023</w:t>
      </w:r>
      <w:r>
        <w:rPr>
          <w:rFonts w:ascii="Times New Roman" w:hAnsi="Times New Roman" w:cs="Times New Roman"/>
          <w:sz w:val="20"/>
          <w:szCs w:val="20"/>
        </w:rPr>
        <w:t xml:space="preserve"> (New York: United Nations, 2023).</w:t>
      </w:r>
    </w:p>
  </w:footnote>
  <w:footnote w:id="69">
    <w:p w14:paraId="696ED8E3"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Jacques Cauvin, </w:t>
      </w:r>
      <w:r>
        <w:rPr>
          <w:rFonts w:ascii="Times New Roman" w:hAnsi="Times New Roman" w:cs="Times New Roman"/>
          <w:i/>
          <w:iCs/>
          <w:sz w:val="20"/>
          <w:szCs w:val="20"/>
        </w:rPr>
        <w:t>The Birth of the Gods and the Origins of Agriculture</w:t>
      </w:r>
      <w:r>
        <w:rPr>
          <w:rFonts w:ascii="Times New Roman" w:hAnsi="Times New Roman" w:cs="Times New Roman"/>
          <w:sz w:val="20"/>
          <w:szCs w:val="20"/>
        </w:rPr>
        <w:t xml:space="preserve"> (Cambridge: Cambridge University Press, 2000).</w:t>
      </w:r>
    </w:p>
  </w:footnote>
  <w:footnote w:id="70">
    <w:p w14:paraId="5C835900" w14:textId="77777777" w:rsidR="00C96F90" w:rsidRDefault="00000000">
      <w:pPr>
        <w:pStyle w:val="FootnoteText"/>
      </w:pPr>
      <w:r>
        <w:rPr>
          <w:rStyle w:val="FootnoteReference"/>
        </w:rPr>
        <w:footnoteRef/>
      </w:r>
      <w:r>
        <w:rPr>
          <w:rFonts w:ascii="Times New Roman" w:hAnsi="Times New Roman" w:cs="Times New Roman"/>
          <w:sz w:val="20"/>
          <w:szCs w:val="20"/>
        </w:rPr>
        <w:t xml:space="preserve">Bruce G. Trigger, </w:t>
      </w:r>
      <w:r>
        <w:rPr>
          <w:rFonts w:ascii="Times New Roman" w:hAnsi="Times New Roman" w:cs="Times New Roman"/>
          <w:i/>
          <w:iCs/>
          <w:sz w:val="20"/>
          <w:szCs w:val="20"/>
        </w:rPr>
        <w:t>Understanding Early Civilizations: A Comparative Study</w:t>
      </w:r>
      <w:r>
        <w:rPr>
          <w:rFonts w:ascii="Times New Roman" w:hAnsi="Times New Roman" w:cs="Times New Roman"/>
          <w:sz w:val="20"/>
          <w:szCs w:val="20"/>
        </w:rPr>
        <w:t xml:space="preserve"> (Cambridge: Cambridge University Press, 2003).</w:t>
      </w:r>
    </w:p>
  </w:footnote>
  <w:footnote w:id="71">
    <w:p w14:paraId="35FA3B5A" w14:textId="77777777" w:rsidR="00C96F90" w:rsidRDefault="00000000">
      <w:pPr>
        <w:pStyle w:val="FootnoteText"/>
      </w:pPr>
      <w:r>
        <w:rPr>
          <w:rStyle w:val="FootnoteReference"/>
        </w:rPr>
        <w:footnoteRef/>
      </w:r>
      <w:proofErr w:type="spellStart"/>
      <w:r>
        <w:rPr>
          <w:rFonts w:ascii="Times New Roman" w:hAnsi="Times New Roman" w:cs="Times New Roman"/>
          <w:sz w:val="20"/>
          <w:szCs w:val="20"/>
        </w:rPr>
        <w:t>Necmi</w:t>
      </w:r>
      <w:proofErr w:type="spellEnd"/>
      <w:r>
        <w:rPr>
          <w:rFonts w:ascii="Times New Roman" w:hAnsi="Times New Roman" w:cs="Times New Roman"/>
          <w:sz w:val="20"/>
          <w:szCs w:val="20"/>
        </w:rPr>
        <w:t xml:space="preserve"> Karul, </w:t>
      </w:r>
      <w:r>
        <w:rPr>
          <w:rFonts w:ascii="Times New Roman" w:hAnsi="Times New Roman" w:cs="Times New Roman"/>
          <w:i/>
          <w:iCs/>
          <w:sz w:val="20"/>
          <w:szCs w:val="20"/>
        </w:rPr>
        <w:t xml:space="preserve">Taş </w:t>
      </w:r>
      <w:proofErr w:type="spellStart"/>
      <w:r>
        <w:rPr>
          <w:rFonts w:ascii="Times New Roman" w:hAnsi="Times New Roman" w:cs="Times New Roman"/>
          <w:i/>
          <w:iCs/>
          <w:sz w:val="20"/>
          <w:szCs w:val="20"/>
        </w:rPr>
        <w:t>Tepeler</w:t>
      </w:r>
      <w:proofErr w:type="spellEnd"/>
      <w:r>
        <w:rPr>
          <w:rFonts w:ascii="Times New Roman" w:hAnsi="Times New Roman" w:cs="Times New Roman"/>
          <w:i/>
          <w:iCs/>
          <w:sz w:val="20"/>
          <w:szCs w:val="20"/>
        </w:rPr>
        <w:t>: The Land of Great Transformation</w:t>
      </w:r>
      <w:r>
        <w:rPr>
          <w:rFonts w:ascii="Times New Roman" w:hAnsi="Times New Roman" w:cs="Times New Roman"/>
          <w:sz w:val="20"/>
          <w:szCs w:val="20"/>
        </w:rPr>
        <w:t>, presentation (Istanbul: Istanbul University / Turkish Ministry of Culture and Tourism, 2021).</w:t>
      </w:r>
    </w:p>
  </w:footnote>
  <w:footnote w:id="72">
    <w:p w14:paraId="5BC3CA2E" w14:textId="77777777" w:rsidR="00C96F90" w:rsidRDefault="00000000">
      <w:pPr>
        <w:pStyle w:val="FootnoteText"/>
      </w:pPr>
      <w:r>
        <w:rPr>
          <w:rStyle w:val="FootnoteReference"/>
        </w:rPr>
        <w:footnoteRef/>
      </w:r>
      <w:r>
        <w:rPr>
          <w:rFonts w:ascii="Times New Roman" w:hAnsi="Times New Roman" w:cs="Times New Roman"/>
          <w:sz w:val="20"/>
          <w:szCs w:val="20"/>
        </w:rPr>
        <w:t>Klaus Schmidt, "</w:t>
      </w:r>
      <w:proofErr w:type="spellStart"/>
      <w:r>
        <w:rPr>
          <w:rFonts w:ascii="Times New Roman" w:hAnsi="Times New Roman" w:cs="Times New Roman"/>
          <w:sz w:val="20"/>
          <w:szCs w:val="20"/>
        </w:rPr>
        <w:t>Göbekli</w:t>
      </w:r>
      <w:proofErr w:type="spellEnd"/>
      <w:r>
        <w:rPr>
          <w:rFonts w:ascii="Times New Roman" w:hAnsi="Times New Roman" w:cs="Times New Roman"/>
          <w:sz w:val="20"/>
          <w:szCs w:val="20"/>
        </w:rPr>
        <w:t xml:space="preserve"> Tepe: The Stone Age Sanctuaries," </w:t>
      </w:r>
      <w:r>
        <w:rPr>
          <w:rFonts w:ascii="Times New Roman" w:hAnsi="Times New Roman" w:cs="Times New Roman"/>
          <w:i/>
          <w:iCs/>
          <w:sz w:val="20"/>
          <w:szCs w:val="20"/>
        </w:rPr>
        <w:t xml:space="preserve">Documenta </w:t>
      </w:r>
      <w:proofErr w:type="spellStart"/>
      <w:r>
        <w:rPr>
          <w:rFonts w:ascii="Times New Roman" w:hAnsi="Times New Roman" w:cs="Times New Roman"/>
          <w:i/>
          <w:iCs/>
          <w:sz w:val="20"/>
          <w:szCs w:val="20"/>
        </w:rPr>
        <w:t>Praehistorica</w:t>
      </w:r>
      <w:proofErr w:type="spellEnd"/>
      <w:r>
        <w:rPr>
          <w:rFonts w:ascii="Times New Roman" w:hAnsi="Times New Roman" w:cs="Times New Roman"/>
          <w:sz w:val="20"/>
          <w:szCs w:val="20"/>
        </w:rPr>
        <w:t xml:space="preserve"> 37 (2010): 239–256.</w:t>
      </w:r>
    </w:p>
  </w:footnote>
  <w:footnote w:id="73">
    <w:p w14:paraId="0130226D" w14:textId="77777777" w:rsidR="00C96F90" w:rsidRDefault="00000000">
      <w:pPr>
        <w:pStyle w:val="FootnoteText"/>
      </w:pPr>
      <w:r>
        <w:rPr>
          <w:rStyle w:val="FootnoteReference"/>
        </w:rPr>
        <w:footnoteRef/>
      </w:r>
      <w:r>
        <w:rPr>
          <w:rFonts w:ascii="Times New Roman" w:hAnsi="Times New Roman" w:cs="Times New Roman"/>
          <w:sz w:val="20"/>
          <w:szCs w:val="20"/>
        </w:rPr>
        <w:t xml:space="preserve">Jack Goody, </w:t>
      </w:r>
      <w:r>
        <w:rPr>
          <w:rFonts w:ascii="Times New Roman" w:hAnsi="Times New Roman" w:cs="Times New Roman"/>
          <w:i/>
          <w:iCs/>
          <w:sz w:val="20"/>
          <w:szCs w:val="20"/>
        </w:rPr>
        <w:t>The Logic of Writing and the Organization of Society</w:t>
      </w:r>
      <w:r>
        <w:rPr>
          <w:rFonts w:ascii="Times New Roman" w:hAnsi="Times New Roman" w:cs="Times New Roman"/>
          <w:sz w:val="20"/>
          <w:szCs w:val="20"/>
        </w:rPr>
        <w:t xml:space="preserve"> (Cambridge: Cambridge University Press, 1986).</w:t>
      </w:r>
    </w:p>
  </w:footnote>
  <w:footnote w:id="74">
    <w:p w14:paraId="2EA56FAA" w14:textId="77777777" w:rsidR="00C96F90" w:rsidRDefault="00000000">
      <w:pPr>
        <w:pStyle w:val="FootnoteText"/>
      </w:pPr>
      <w:r>
        <w:rPr>
          <w:rStyle w:val="FootnoteReference"/>
        </w:rPr>
        <w:footnoteRef/>
      </w:r>
      <w:r>
        <w:rPr>
          <w:rFonts w:ascii="Times New Roman" w:hAnsi="Times New Roman" w:cs="Times New Roman"/>
          <w:sz w:val="20"/>
          <w:szCs w:val="20"/>
        </w:rPr>
        <w:t xml:space="preserve">Douglass C. North, </w:t>
      </w:r>
      <w:r>
        <w:rPr>
          <w:rFonts w:ascii="Times New Roman" w:hAnsi="Times New Roman" w:cs="Times New Roman"/>
          <w:i/>
          <w:iCs/>
          <w:sz w:val="20"/>
          <w:szCs w:val="20"/>
        </w:rPr>
        <w:t>Institutions, Institutional Change and Economic Performance</w:t>
      </w:r>
      <w:r>
        <w:rPr>
          <w:rFonts w:ascii="Times New Roman" w:hAnsi="Times New Roman" w:cs="Times New Roman"/>
          <w:sz w:val="20"/>
          <w:szCs w:val="20"/>
        </w:rPr>
        <w:t xml:space="preserve"> (Cambridge: Cambridge University Press, 1990).</w:t>
      </w:r>
    </w:p>
  </w:footnote>
  <w:footnote w:id="75">
    <w:p w14:paraId="1BB98BDA" w14:textId="77777777" w:rsidR="00C96F90" w:rsidRDefault="00000000">
      <w:pPr>
        <w:pStyle w:val="FootnoteText"/>
      </w:pPr>
      <w:r>
        <w:rPr>
          <w:rStyle w:val="FootnoteReference"/>
        </w:rPr>
        <w:footnoteRef/>
      </w:r>
      <w:r>
        <w:rPr>
          <w:rFonts w:ascii="Times New Roman" w:hAnsi="Times New Roman" w:cs="Times New Roman"/>
          <w:sz w:val="20"/>
          <w:szCs w:val="20"/>
        </w:rPr>
        <w:t xml:space="preserve">Jan Assmann, </w:t>
      </w:r>
      <w:r>
        <w:rPr>
          <w:rFonts w:ascii="Times New Roman" w:hAnsi="Times New Roman" w:cs="Times New Roman"/>
          <w:i/>
          <w:iCs/>
          <w:sz w:val="20"/>
          <w:szCs w:val="20"/>
        </w:rPr>
        <w:t>Cultural Memory and Early Civilization: Writing, Remembrance, and Political Imagination</w:t>
      </w:r>
      <w:r>
        <w:rPr>
          <w:rFonts w:ascii="Times New Roman" w:hAnsi="Times New Roman" w:cs="Times New Roman"/>
          <w:sz w:val="20"/>
          <w:szCs w:val="20"/>
        </w:rPr>
        <w:t xml:space="preserve"> (Cambridge: Cambridge University Press,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925C1"/>
    <w:multiLevelType w:val="hybridMultilevel"/>
    <w:tmpl w:val="2D94D920"/>
    <w:lvl w:ilvl="0" w:tplc="60B80F40">
      <w:start w:val="1"/>
      <w:numFmt w:val="bullet"/>
      <w:lvlText w:val="•"/>
      <w:lvlJc w:val="left"/>
      <w:pPr>
        <w:ind w:left="720" w:hanging="360"/>
      </w:pPr>
    </w:lvl>
    <w:lvl w:ilvl="1" w:tplc="616E125C">
      <w:numFmt w:val="decimal"/>
      <w:lvlText w:val=""/>
      <w:lvlJc w:val="left"/>
    </w:lvl>
    <w:lvl w:ilvl="2" w:tplc="8FA2A400">
      <w:numFmt w:val="decimal"/>
      <w:lvlText w:val=""/>
      <w:lvlJc w:val="left"/>
    </w:lvl>
    <w:lvl w:ilvl="3" w:tplc="43FA1A34">
      <w:numFmt w:val="decimal"/>
      <w:lvlText w:val=""/>
      <w:lvlJc w:val="left"/>
    </w:lvl>
    <w:lvl w:ilvl="4" w:tplc="8312EFD4">
      <w:numFmt w:val="decimal"/>
      <w:lvlText w:val=""/>
      <w:lvlJc w:val="left"/>
    </w:lvl>
    <w:lvl w:ilvl="5" w:tplc="36E42276">
      <w:numFmt w:val="decimal"/>
      <w:lvlText w:val=""/>
      <w:lvlJc w:val="left"/>
    </w:lvl>
    <w:lvl w:ilvl="6" w:tplc="6E2C0ED4">
      <w:numFmt w:val="decimal"/>
      <w:lvlText w:val=""/>
      <w:lvlJc w:val="left"/>
    </w:lvl>
    <w:lvl w:ilvl="7" w:tplc="2B6AD822">
      <w:numFmt w:val="decimal"/>
      <w:lvlText w:val=""/>
      <w:lvlJc w:val="left"/>
    </w:lvl>
    <w:lvl w:ilvl="8" w:tplc="50FE9D8C">
      <w:numFmt w:val="decimal"/>
      <w:lvlText w:val=""/>
      <w:lvlJc w:val="left"/>
    </w:lvl>
  </w:abstractNum>
  <w:abstractNum w:abstractNumId="1" w15:restartNumberingAfterBreak="0">
    <w:nsid w:val="70071F1C"/>
    <w:multiLevelType w:val="hybridMultilevel"/>
    <w:tmpl w:val="3984D1DC"/>
    <w:lvl w:ilvl="0" w:tplc="77264E52">
      <w:start w:val="1"/>
      <w:numFmt w:val="bullet"/>
      <w:lvlText w:val="●"/>
      <w:lvlJc w:val="left"/>
      <w:pPr>
        <w:ind w:left="720" w:hanging="360"/>
      </w:pPr>
    </w:lvl>
    <w:lvl w:ilvl="1" w:tplc="F85CA5F0">
      <w:start w:val="1"/>
      <w:numFmt w:val="bullet"/>
      <w:lvlText w:val="○"/>
      <w:lvlJc w:val="left"/>
      <w:pPr>
        <w:ind w:left="1440" w:hanging="360"/>
      </w:pPr>
    </w:lvl>
    <w:lvl w:ilvl="2" w:tplc="5D063E1C">
      <w:start w:val="1"/>
      <w:numFmt w:val="bullet"/>
      <w:lvlText w:val="■"/>
      <w:lvlJc w:val="left"/>
      <w:pPr>
        <w:ind w:left="2160" w:hanging="360"/>
      </w:pPr>
    </w:lvl>
    <w:lvl w:ilvl="3" w:tplc="445CFF0C">
      <w:start w:val="1"/>
      <w:numFmt w:val="bullet"/>
      <w:lvlText w:val="●"/>
      <w:lvlJc w:val="left"/>
      <w:pPr>
        <w:ind w:left="2880" w:hanging="360"/>
      </w:pPr>
    </w:lvl>
    <w:lvl w:ilvl="4" w:tplc="FF54BDD2">
      <w:start w:val="1"/>
      <w:numFmt w:val="bullet"/>
      <w:lvlText w:val="○"/>
      <w:lvlJc w:val="left"/>
      <w:pPr>
        <w:ind w:left="3600" w:hanging="360"/>
      </w:pPr>
    </w:lvl>
    <w:lvl w:ilvl="5" w:tplc="C8E8F67C">
      <w:start w:val="1"/>
      <w:numFmt w:val="bullet"/>
      <w:lvlText w:val="■"/>
      <w:lvlJc w:val="left"/>
      <w:pPr>
        <w:ind w:left="4320" w:hanging="360"/>
      </w:pPr>
    </w:lvl>
    <w:lvl w:ilvl="6" w:tplc="B014A11A">
      <w:start w:val="1"/>
      <w:numFmt w:val="bullet"/>
      <w:lvlText w:val="●"/>
      <w:lvlJc w:val="left"/>
      <w:pPr>
        <w:ind w:left="5040" w:hanging="360"/>
      </w:pPr>
    </w:lvl>
    <w:lvl w:ilvl="7" w:tplc="CB86622C">
      <w:start w:val="1"/>
      <w:numFmt w:val="bullet"/>
      <w:lvlText w:val="●"/>
      <w:lvlJc w:val="left"/>
      <w:pPr>
        <w:ind w:left="5760" w:hanging="360"/>
      </w:pPr>
    </w:lvl>
    <w:lvl w:ilvl="8" w:tplc="BEC40E86">
      <w:start w:val="1"/>
      <w:numFmt w:val="bullet"/>
      <w:lvlText w:val="●"/>
      <w:lvlJc w:val="left"/>
      <w:pPr>
        <w:ind w:left="6480" w:hanging="360"/>
      </w:pPr>
    </w:lvl>
  </w:abstractNum>
  <w:num w:numId="1" w16cid:durableId="2107841337">
    <w:abstractNumId w:val="1"/>
    <w:lvlOverride w:ilvl="0">
      <w:startOverride w:val="1"/>
    </w:lvlOverride>
  </w:num>
  <w:num w:numId="2" w16cid:durableId="3740881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90"/>
    <w:rsid w:val="00257D7F"/>
    <w:rsid w:val="006D028D"/>
    <w:rsid w:val="00C96F90"/>
    <w:rsid w:val="00DF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CAA74"/>
  <w15:docId w15:val="{B4C3C8F8-D10F-0647-A2EE-967D4E11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30"/>
      <w:szCs w:val="30"/>
    </w:rPr>
  </w:style>
  <w:style w:type="paragraph" w:styleId="Heading2">
    <w:name w:val="heading 2"/>
    <w:uiPriority w:val="9"/>
    <w:unhideWhenUsed/>
    <w:qFormat/>
    <w:pPr>
      <w:spacing w:before="280" w:after="12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pPr>
      <w:spacing w:after="60"/>
    </w:pPr>
    <w:rPr>
      <w:sz w:val="18"/>
      <w:szCs w:val="18"/>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4595</Words>
  <Characters>30327</Characters>
  <Application>Microsoft Office Word</Application>
  <DocSecurity>0</DocSecurity>
  <Lines>583</Lines>
  <Paragraphs>293</Paragraphs>
  <ScaleCrop>false</ScaleCrop>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2</cp:revision>
  <dcterms:created xsi:type="dcterms:W3CDTF">2026-04-30T18:59:00Z</dcterms:created>
  <dcterms:modified xsi:type="dcterms:W3CDTF">2026-05-03T12:58:00Z</dcterms:modified>
</cp:coreProperties>
</file>